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B7" w:rsidRDefault="00E41C4E" w:rsidP="004B68B7">
      <w:pPr>
        <w:autoSpaceDE w:val="0"/>
        <w:autoSpaceDN w:val="0"/>
        <w:adjustRightInd w:val="0"/>
        <w:spacing w:after="0" w:line="240" w:lineRule="auto"/>
        <w:jc w:val="center"/>
        <w:rPr>
          <w:rFonts w:ascii="Calibri-Bold" w:hAnsi="Calibri-Bold" w:cs="Calibri-Bold"/>
          <w:b/>
          <w:bCs/>
          <w:color w:val="000000"/>
          <w:sz w:val="20"/>
          <w:szCs w:val="20"/>
        </w:rPr>
      </w:pPr>
      <w:bookmarkStart w:id="0" w:name="_GoBack"/>
      <w:bookmarkEnd w:id="0"/>
      <w:r>
        <w:rPr>
          <w:noProof/>
          <w:lang w:eastAsia="it-IT"/>
        </w:rPr>
        <w:drawing>
          <wp:inline distT="0" distB="0" distL="0" distR="0" wp14:anchorId="2DEDC9B5" wp14:editId="165FDD67">
            <wp:extent cx="733425" cy="10763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pic:spPr>
                </pic:pic>
              </a:graphicData>
            </a:graphic>
          </wp:inline>
        </w:drawing>
      </w:r>
      <w:r w:rsidR="004B68B7">
        <w:rPr>
          <w:rFonts w:ascii="Calibri-Bold" w:hAnsi="Calibri-Bold" w:cs="Calibri-Bold"/>
          <w:b/>
          <w:bCs/>
          <w:color w:val="FF0000"/>
          <w:sz w:val="28"/>
          <w:szCs w:val="28"/>
        </w:rPr>
        <w:t xml:space="preserve">    </w:t>
      </w:r>
      <w:r w:rsidRPr="004B68B7">
        <w:rPr>
          <w:rFonts w:ascii="Calibri-Bold" w:hAnsi="Calibri-Bold" w:cs="Calibri-Bold"/>
          <w:b/>
          <w:bCs/>
          <w:color w:val="FF0000"/>
          <w:sz w:val="28"/>
          <w:szCs w:val="28"/>
        </w:rPr>
        <w:t>F</w:t>
      </w:r>
      <w:r w:rsidRPr="004B68B7">
        <w:rPr>
          <w:rFonts w:ascii="Calibri-Bold" w:hAnsi="Calibri-Bold" w:cs="Calibri-Bold"/>
          <w:b/>
          <w:bCs/>
          <w:color w:val="000000"/>
          <w:sz w:val="28"/>
          <w:szCs w:val="28"/>
        </w:rPr>
        <w:t xml:space="preserve">ederazione </w:t>
      </w:r>
      <w:r w:rsidRPr="004B68B7">
        <w:rPr>
          <w:rFonts w:ascii="Calibri-Bold" w:hAnsi="Calibri-Bold" w:cs="Calibri-Bold"/>
          <w:b/>
          <w:bCs/>
          <w:color w:val="FF0000"/>
          <w:sz w:val="28"/>
          <w:szCs w:val="28"/>
        </w:rPr>
        <w:t>I</w:t>
      </w:r>
      <w:r w:rsidRPr="004B68B7">
        <w:rPr>
          <w:rFonts w:ascii="Calibri-Bold" w:hAnsi="Calibri-Bold" w:cs="Calibri-Bold"/>
          <w:b/>
          <w:bCs/>
          <w:color w:val="000000"/>
          <w:sz w:val="28"/>
          <w:szCs w:val="28"/>
        </w:rPr>
        <w:t xml:space="preserve">mpiegati </w:t>
      </w:r>
      <w:r w:rsidRPr="004B68B7">
        <w:rPr>
          <w:rFonts w:ascii="Calibri-Bold" w:hAnsi="Calibri-Bold" w:cs="Calibri-Bold"/>
          <w:b/>
          <w:bCs/>
          <w:color w:val="FF0000"/>
          <w:sz w:val="28"/>
          <w:szCs w:val="28"/>
        </w:rPr>
        <w:t>O</w:t>
      </w:r>
      <w:r w:rsidRPr="004B68B7">
        <w:rPr>
          <w:rFonts w:ascii="Calibri-Bold" w:hAnsi="Calibri-Bold" w:cs="Calibri-Bold"/>
          <w:b/>
          <w:bCs/>
          <w:color w:val="000000"/>
          <w:sz w:val="28"/>
          <w:szCs w:val="28"/>
        </w:rPr>
        <w:t xml:space="preserve">perai </w:t>
      </w:r>
      <w:r w:rsidRPr="004B68B7">
        <w:rPr>
          <w:rFonts w:ascii="Calibri-Bold" w:hAnsi="Calibri-Bold" w:cs="Calibri-Bold"/>
          <w:b/>
          <w:bCs/>
          <w:color w:val="FF0000"/>
          <w:sz w:val="28"/>
          <w:szCs w:val="28"/>
        </w:rPr>
        <w:t>M</w:t>
      </w:r>
      <w:r w:rsidRPr="004B68B7">
        <w:rPr>
          <w:rFonts w:ascii="Calibri-Bold" w:hAnsi="Calibri-Bold" w:cs="Calibri-Bold"/>
          <w:b/>
          <w:bCs/>
          <w:color w:val="000000"/>
          <w:sz w:val="28"/>
          <w:szCs w:val="28"/>
        </w:rPr>
        <w:t>etallurgici</w:t>
      </w:r>
      <w:r>
        <w:rPr>
          <w:rFonts w:ascii="Calibri-Bold" w:hAnsi="Calibri-Bold" w:cs="Calibri-Bold"/>
          <w:b/>
          <w:bCs/>
          <w:color w:val="000000"/>
          <w:sz w:val="20"/>
          <w:szCs w:val="20"/>
        </w:rPr>
        <w:t xml:space="preserve"> </w:t>
      </w:r>
      <w:r>
        <w:rPr>
          <w:noProof/>
          <w:lang w:eastAsia="it-IT"/>
        </w:rPr>
        <w:drawing>
          <wp:inline distT="0" distB="0" distL="0" distR="0" wp14:anchorId="40CADECD" wp14:editId="41D22AAD">
            <wp:extent cx="1619250" cy="1295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295400"/>
                    </a:xfrm>
                    <a:prstGeom prst="rect">
                      <a:avLst/>
                    </a:prstGeom>
                    <a:noFill/>
                    <a:ln>
                      <a:noFill/>
                    </a:ln>
                  </pic:spPr>
                </pic:pic>
              </a:graphicData>
            </a:graphic>
          </wp:inline>
        </w:drawing>
      </w:r>
      <w:r w:rsidR="004B68B7">
        <w:rPr>
          <w:rFonts w:ascii="Calibri-Bold" w:hAnsi="Calibri-Bold" w:cs="Calibri-Bold"/>
          <w:b/>
          <w:bCs/>
          <w:color w:val="000000"/>
          <w:sz w:val="20"/>
          <w:szCs w:val="20"/>
        </w:rPr>
        <w:t xml:space="preserve">  </w:t>
      </w:r>
    </w:p>
    <w:p w:rsidR="004B68B7" w:rsidRPr="004B68B7" w:rsidRDefault="004B68B7" w:rsidP="004B68B7">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 xml:space="preserve">  </w:t>
      </w:r>
      <w:r w:rsidRPr="004B68B7">
        <w:rPr>
          <w:rFonts w:ascii="Times New Roman" w:eastAsia="Times New Roman" w:hAnsi="Times New Roman" w:cs="Times New Roman"/>
          <w:smallCaps/>
          <w:color w:val="FF0000"/>
          <w:sz w:val="24"/>
          <w:szCs w:val="20"/>
          <w:lang w:eastAsia="it-IT"/>
        </w:rPr>
        <w:t>REGIONALE PUGLIA</w:t>
      </w:r>
    </w:p>
    <w:p w:rsidR="004B68B7" w:rsidRPr="004B68B7" w:rsidRDefault="004B68B7" w:rsidP="004B68B7">
      <w:pPr>
        <w:keepNext/>
        <w:spacing w:after="0" w:line="240" w:lineRule="auto"/>
        <w:jc w:val="center"/>
        <w:outlineLvl w:val="6"/>
        <w:rPr>
          <w:rFonts w:ascii="Times New Roman" w:eastAsia="Times New Roman" w:hAnsi="Times New Roman" w:cs="Times New Roman"/>
          <w:b/>
          <w:bCs/>
          <w:sz w:val="16"/>
          <w:szCs w:val="20"/>
          <w:lang w:eastAsia="it-IT"/>
        </w:rPr>
      </w:pPr>
      <w:r w:rsidRPr="004B68B7">
        <w:rPr>
          <w:rFonts w:ascii="Times New Roman" w:eastAsia="Times New Roman" w:hAnsi="Times New Roman" w:cs="Times New Roman"/>
          <w:b/>
          <w:bCs/>
          <w:sz w:val="16"/>
          <w:szCs w:val="20"/>
          <w:lang w:eastAsia="it-IT"/>
        </w:rPr>
        <w:t xml:space="preserve">                 Sindacato Regionale  via V. </w:t>
      </w:r>
      <w:proofErr w:type="spellStart"/>
      <w:r w:rsidRPr="004B68B7">
        <w:rPr>
          <w:rFonts w:ascii="Times New Roman" w:eastAsia="Times New Roman" w:hAnsi="Times New Roman" w:cs="Times New Roman"/>
          <w:b/>
          <w:bCs/>
          <w:sz w:val="16"/>
          <w:szCs w:val="20"/>
          <w:lang w:eastAsia="it-IT"/>
        </w:rPr>
        <w:t>Calace</w:t>
      </w:r>
      <w:proofErr w:type="spellEnd"/>
      <w:r w:rsidRPr="004B68B7">
        <w:rPr>
          <w:rFonts w:ascii="Times New Roman" w:eastAsia="Times New Roman" w:hAnsi="Times New Roman" w:cs="Times New Roman"/>
          <w:b/>
          <w:bCs/>
          <w:sz w:val="16"/>
          <w:szCs w:val="20"/>
          <w:lang w:eastAsia="it-IT"/>
        </w:rPr>
        <w:t xml:space="preserve"> 4 – 70123 Bari –Tel. 080/5736239 – 080/5736111</w:t>
      </w:r>
      <w:r w:rsidRPr="004B68B7">
        <w:rPr>
          <w:rFonts w:ascii="Calibri" w:eastAsia="Times New Roman" w:hAnsi="Calibri" w:cs="Times New Roman"/>
          <w:b/>
          <w:bCs/>
          <w:noProof/>
          <w:color w:val="003366"/>
          <w:sz w:val="23"/>
          <w:szCs w:val="23"/>
          <w:lang w:eastAsia="it-IT"/>
        </w:rPr>
        <w:t xml:space="preserve">         </w:t>
      </w:r>
    </w:p>
    <w:p w:rsidR="00436741" w:rsidRDefault="004B68B7" w:rsidP="004B68B7">
      <w:pPr>
        <w:autoSpaceDE w:val="0"/>
        <w:autoSpaceDN w:val="0"/>
        <w:adjustRightInd w:val="0"/>
        <w:spacing w:after="0" w:line="240" w:lineRule="auto"/>
      </w:pPr>
      <w:r w:rsidRPr="004B68B7">
        <w:t xml:space="preserve">                                                  Fax 080 5791240  e-mail:  </w:t>
      </w:r>
      <w:hyperlink r:id="rId9" w:history="1">
        <w:r w:rsidRPr="004B68B7">
          <w:rPr>
            <w:color w:val="0000FF" w:themeColor="hyperlink"/>
            <w:u w:val="single"/>
          </w:rPr>
          <w:t>fiom@puglia.cgil.it</w:t>
        </w:r>
      </w:hyperlink>
      <w:r w:rsidRPr="004B68B7">
        <w:t xml:space="preserve"> </w:t>
      </w:r>
    </w:p>
    <w:p w:rsidR="004B68B7" w:rsidRDefault="00436741" w:rsidP="004B68B7">
      <w:pPr>
        <w:autoSpaceDE w:val="0"/>
        <w:autoSpaceDN w:val="0"/>
        <w:adjustRightInd w:val="0"/>
        <w:spacing w:after="0" w:line="240" w:lineRule="auto"/>
        <w:rPr>
          <w:rFonts w:ascii="Calibri-Bold" w:hAnsi="Calibri-Bold" w:cs="Calibri-Bold"/>
          <w:b/>
          <w:bCs/>
          <w:color w:val="000000"/>
          <w:sz w:val="26"/>
          <w:szCs w:val="26"/>
        </w:rPr>
      </w:pPr>
      <w:r>
        <w:t>-----------------------------------------------------------------------------------------------------------------------------------------------</w:t>
      </w:r>
      <w:r w:rsidR="004B68B7" w:rsidRPr="004B68B7">
        <w:tab/>
        <w:t xml:space="preserve">    </w:t>
      </w:r>
    </w:p>
    <w:p w:rsidR="00DD768B" w:rsidRDefault="00E41C4E" w:rsidP="00DD768B">
      <w:r w:rsidRPr="00E41C4E">
        <w:tab/>
      </w:r>
    </w:p>
    <w:p w:rsidR="00DD768B" w:rsidRDefault="00DD768B" w:rsidP="00DD768B"/>
    <w:p w:rsidR="00DD768B" w:rsidRDefault="00DD768B" w:rsidP="00DD768B">
      <w:pPr>
        <w:jc w:val="center"/>
        <w:rPr>
          <w:rFonts w:ascii="Verdana" w:hAnsi="Verdana"/>
          <w:sz w:val="48"/>
          <w:szCs w:val="48"/>
        </w:rPr>
      </w:pPr>
      <w:r w:rsidRPr="00DD768B">
        <w:rPr>
          <w:rFonts w:ascii="Verdana" w:hAnsi="Verdana"/>
          <w:sz w:val="48"/>
          <w:szCs w:val="48"/>
        </w:rPr>
        <w:t xml:space="preserve">Quadro occupazionale e Produttivo degli stabilimenti pugliesi del settore </w:t>
      </w:r>
      <w:proofErr w:type="spellStart"/>
      <w:r w:rsidRPr="00DD768B">
        <w:rPr>
          <w:rFonts w:ascii="Verdana" w:hAnsi="Verdana"/>
          <w:sz w:val="48"/>
          <w:szCs w:val="48"/>
        </w:rPr>
        <w:t>automotive</w:t>
      </w:r>
      <w:proofErr w:type="spellEnd"/>
    </w:p>
    <w:p w:rsidR="00DD768B" w:rsidRDefault="00DD768B" w:rsidP="00DD768B">
      <w:pPr>
        <w:jc w:val="center"/>
        <w:rPr>
          <w:rFonts w:ascii="Verdana" w:hAnsi="Verdana"/>
          <w:sz w:val="48"/>
          <w:szCs w:val="48"/>
        </w:rPr>
      </w:pPr>
    </w:p>
    <w:p w:rsidR="00DD768B" w:rsidRPr="00DD768B" w:rsidRDefault="00DD768B" w:rsidP="00DD768B">
      <w:pPr>
        <w:jc w:val="center"/>
        <w:rPr>
          <w:rFonts w:ascii="Times New Roman" w:hAnsi="Times New Roman" w:cs="Times New Roman"/>
          <w:sz w:val="24"/>
          <w:szCs w:val="24"/>
        </w:rPr>
      </w:pPr>
      <w:r w:rsidRPr="00DD768B">
        <w:rPr>
          <w:rFonts w:ascii="Times New Roman" w:hAnsi="Times New Roman" w:cs="Times New Roman"/>
          <w:b/>
          <w:sz w:val="28"/>
          <w:szCs w:val="28"/>
        </w:rPr>
        <w:t>Estratto del rapporto</w:t>
      </w:r>
      <w:r>
        <w:rPr>
          <w:rFonts w:ascii="Times New Roman" w:hAnsi="Times New Roman" w:cs="Times New Roman"/>
          <w:sz w:val="28"/>
          <w:szCs w:val="28"/>
        </w:rPr>
        <w:t xml:space="preserve">: </w:t>
      </w:r>
      <w:r w:rsidRPr="00DD768B">
        <w:rPr>
          <w:rFonts w:ascii="Times New Roman" w:hAnsi="Times New Roman" w:cs="Times New Roman"/>
          <w:sz w:val="24"/>
          <w:szCs w:val="24"/>
        </w:rPr>
        <w:t xml:space="preserve">il settore metalmeccanico pugliese e il rilancio della contrattazione, mappatura industriale e dell’occupazione, inchiesta sulle condizioni di lavoro e contrattazione. </w:t>
      </w:r>
    </w:p>
    <w:p w:rsidR="00DD768B" w:rsidRDefault="00DD768B" w:rsidP="00DD768B"/>
    <w:p w:rsidR="00DD768B" w:rsidRDefault="00DD768B" w:rsidP="00DD768B"/>
    <w:p w:rsidR="00DD768B" w:rsidRDefault="00DD768B" w:rsidP="00DD768B"/>
    <w:p w:rsidR="00DD768B" w:rsidRDefault="00DD768B" w:rsidP="00DD768B"/>
    <w:p w:rsidR="00DD768B" w:rsidRDefault="00DD768B" w:rsidP="00DD768B"/>
    <w:p w:rsidR="00DD768B" w:rsidRDefault="00DD768B" w:rsidP="00DD768B"/>
    <w:p w:rsidR="00DD768B" w:rsidRDefault="00DD768B" w:rsidP="00DD768B"/>
    <w:p w:rsidR="00DD768B" w:rsidRDefault="00DD768B" w:rsidP="00DD768B"/>
    <w:p w:rsidR="00DD768B" w:rsidRDefault="00DD768B" w:rsidP="00DD768B"/>
    <w:p w:rsidR="00DD768B" w:rsidRDefault="00DD768B" w:rsidP="00DD768B"/>
    <w:p w:rsidR="00DD768B" w:rsidRDefault="00DD768B" w:rsidP="00DD768B"/>
    <w:p w:rsidR="00675BB1" w:rsidRPr="00675BB1" w:rsidRDefault="00675BB1" w:rsidP="00675BB1">
      <w:pPr>
        <w:rPr>
          <w:rFonts w:ascii="Times New Roman" w:hAnsi="Times New Roman" w:cs="Times New Roman"/>
          <w:i/>
          <w:sz w:val="24"/>
          <w:szCs w:val="24"/>
        </w:rPr>
      </w:pPr>
      <w:r w:rsidRPr="00675BB1">
        <w:rPr>
          <w:i/>
          <w:sz w:val="24"/>
          <w:szCs w:val="24"/>
        </w:rPr>
        <w:t xml:space="preserve">A cura FIOM CGIL Puglia    </w:t>
      </w:r>
      <w:r w:rsidRPr="00675BB1">
        <w:rPr>
          <w:i/>
          <w:sz w:val="24"/>
          <w:szCs w:val="24"/>
        </w:rPr>
        <w:tab/>
        <w:t xml:space="preserve">                                            </w:t>
      </w:r>
      <w:r w:rsidRPr="00675BB1">
        <w:rPr>
          <w:rFonts w:ascii="Times New Roman" w:hAnsi="Times New Roman" w:cs="Times New Roman"/>
          <w:i/>
          <w:sz w:val="24"/>
          <w:szCs w:val="24"/>
        </w:rPr>
        <w:t>Bari giugno 2016</w:t>
      </w:r>
    </w:p>
    <w:p w:rsidR="00DD768B" w:rsidRPr="00675BB1" w:rsidRDefault="00DD768B" w:rsidP="00DD768B">
      <w:pPr>
        <w:rPr>
          <w:i/>
        </w:rPr>
      </w:pPr>
    </w:p>
    <w:p w:rsidR="00DD768B" w:rsidRDefault="00DD768B" w:rsidP="00DD768B"/>
    <w:p w:rsidR="00DD768B" w:rsidRDefault="00DD768B" w:rsidP="00DD768B"/>
    <w:p w:rsidR="00DD768B" w:rsidRPr="00DD768B" w:rsidRDefault="00DD768B" w:rsidP="00DD768B">
      <w:pPr>
        <w:rPr>
          <w:rFonts w:ascii="Verdana" w:eastAsiaTheme="minorEastAsia" w:hAnsi="Verdana"/>
          <w:sz w:val="24"/>
          <w:szCs w:val="24"/>
          <w:lang w:eastAsia="it-IT"/>
        </w:rPr>
      </w:pPr>
      <w:r>
        <w:rPr>
          <w:rFonts w:ascii="Verdana" w:eastAsiaTheme="minorEastAsia" w:hAnsi="Verdana"/>
          <w:b/>
          <w:sz w:val="20"/>
          <w:szCs w:val="20"/>
          <w:lang w:eastAsia="it-IT"/>
        </w:rPr>
        <w:t xml:space="preserve">Il settore </w:t>
      </w:r>
      <w:proofErr w:type="spellStart"/>
      <w:r>
        <w:rPr>
          <w:rFonts w:ascii="Verdana" w:eastAsiaTheme="minorEastAsia" w:hAnsi="Verdana"/>
          <w:b/>
          <w:sz w:val="20"/>
          <w:szCs w:val="20"/>
          <w:lang w:eastAsia="it-IT"/>
        </w:rPr>
        <w:t>automotive</w:t>
      </w:r>
      <w:proofErr w:type="spellEnd"/>
      <w:r>
        <w:rPr>
          <w:rFonts w:ascii="Verdana" w:eastAsiaTheme="minorEastAsia" w:hAnsi="Verdana"/>
          <w:b/>
          <w:sz w:val="20"/>
          <w:szCs w:val="20"/>
          <w:lang w:eastAsia="it-IT"/>
        </w:rPr>
        <w:t xml:space="preserve"> in Puglia</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 xml:space="preserve">Negli ultimi due decenni la provincia di Bari ha consolidato una presenza significativa di imprese del settore componentistica auto soprattutto in seguito agli investimenti realizzati dalla BOSCH e dalla GETRAG, investimenti che hanno contribuito a favorire anche la proposta di un distretto della meccatronica, in considerazione tra l’altro della storica presenza di aziende come Magneti Marelli, Graziano Trasmissioni, SKF e altre aziende minori, oltre alla presenza dell’ex ELASIS (dell’ex Gruppo Fiat, che è divenuta la struttura di ricerca del gruppo BOSCH) considerato che oggi FCA conserva a Valenzano solo una piccola unità dei sui CRF (Centro Ricerca Fiat). </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Tuttavia, attualmente quasi tutte le aziende della componentistica stanno risentendo della crisi che ha investito il mercato dell’auto negli ultimi anni: BOSCH è al quinto anno del contratto di solidarietà</w:t>
      </w:r>
      <w:r w:rsidRPr="00DD768B">
        <w:rPr>
          <w:rFonts w:ascii="Verdana" w:eastAsiaTheme="minorEastAsia" w:hAnsi="Verdana"/>
          <w:vertAlign w:val="superscript"/>
          <w:lang w:eastAsia="it-IT"/>
        </w:rPr>
        <w:footnoteReference w:id="1"/>
      </w:r>
      <w:r w:rsidRPr="00DD768B">
        <w:rPr>
          <w:rFonts w:ascii="Verdana" w:eastAsiaTheme="minorEastAsia" w:hAnsi="Verdana"/>
          <w:lang w:eastAsia="it-IT"/>
        </w:rPr>
        <w:t>, Magneti Marelli fa ricorso alla cassa integrazione ordinaria per una parte dei suoi dipendenti in modo quasi costante, solo GETRAG, dopo l’annuncio della chiusura nel 2007, poi rientrato, ha seguito del venir meno della commessa sul cambio F23 per GM, per cui lo stabilimento era sorto (con commessa unica della MERCEDES), ha ripreso in pieno la sua attività grazie soprattutto alla diversificazione della clientela e con l’avvio della produzione del cambio a doppia frizione.</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 xml:space="preserve">La produzione dello stabilimento della </w:t>
      </w:r>
      <w:r w:rsidRPr="00DD768B">
        <w:rPr>
          <w:rFonts w:ascii="Verdana" w:eastAsiaTheme="minorEastAsia" w:hAnsi="Verdana"/>
          <w:b/>
          <w:lang w:eastAsia="it-IT"/>
        </w:rPr>
        <w:t>BOSCH</w:t>
      </w:r>
      <w:r w:rsidRPr="00DD768B">
        <w:rPr>
          <w:rFonts w:ascii="Verdana" w:eastAsiaTheme="minorEastAsia" w:hAnsi="Verdana"/>
          <w:lang w:eastAsia="it-IT"/>
        </w:rPr>
        <w:t xml:space="preserve"> ,che conta circa 2 mila dipendenti, resta oggi concentrata sulla produzione della vecchia pompa (euro 5), in un contesto nel quale negli ultimi anni il rinnovo del parco macchine è stato più lento con gli ultimi macchinari provenienti spesso dalla Germania a seguito di dismissioni, mentre le produzioni maggiori e più innovative per quanto riguarda le pompe sembrano essere concentrate in Repubblica Ceca, un dato che come in altri casi di imprese tedesche sul territorio italiano, conferma l’esistenza di una divisione delle produzioni tra Germania, Sud Europa e Europa dell’Est. Nel caso dello stabilimento di Bari va detto che gli investimenti in impianti e macchinari (nuovi) sono avvenuti fino al 2005 comportando in molti casi anche un significativo aumento dell’occupazione, che nel biennio 2004-2005 aveva raggiunto anche i 2.500 dipendenti. </w:t>
      </w:r>
    </w:p>
    <w:p w:rsidR="00DD768B" w:rsidRDefault="00DD768B" w:rsidP="00675BB1">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lastRenderedPageBreak/>
        <w:t xml:space="preserve">Il mercato che fa riferimento all’attuale produzione dello stabilimento si manterrebbe perché le aziende produttrici non vogliono investire nell’alloggiamento della pompa (stanno rallentando gli investimenti). BOSCH ha, inoltre, cessato da poco </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la produzione dei freni nello stabilimento di Bari avendo ceduto questa divisione a livello internazionale, con alcune ricadute sull’indotto locale</w:t>
      </w:r>
      <w:r w:rsidRPr="00DD768B">
        <w:rPr>
          <w:rFonts w:ascii="Verdana" w:eastAsiaTheme="minorEastAsia" w:hAnsi="Verdana"/>
          <w:vertAlign w:val="superscript"/>
          <w:lang w:eastAsia="it-IT"/>
        </w:rPr>
        <w:footnoteReference w:id="2"/>
      </w:r>
      <w:r w:rsidRPr="00DD768B">
        <w:rPr>
          <w:rFonts w:ascii="Verdana" w:eastAsiaTheme="minorEastAsia" w:hAnsi="Verdana"/>
          <w:lang w:eastAsia="it-IT"/>
        </w:rPr>
        <w:t xml:space="preserve">. </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Il centro ricerche della BOSCH sviluppa un’attività di ricerca che riguarda solo in piccola parte le produzioni dello stabilimento di Bari, anzi si può affermare che rispetto al passato le attività sviluppate nel Centro si sono sempre più distanziate dalle produzioni dello stabilimento, tanto che oggi si potrebbe affermare che buona parte dell’attività di R&amp;S di Bari è trasferita altrove (in Germania) per l’industrializzazione. Accade così che una parte delle attività di ricerca che insistono sulla produzione dello stabilimento di Bari siano, invece, localizzate in India, come testimoniano le frequenti trasferte degli ingegneri del centro di Bari. Oggi il centro di ricerca BOSH beneficia di finanziamenti della regione Puglia (vedi contratti di programma) che sono però concentrati principalmente nella realizzazione di strutture fisiche.</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 xml:space="preserve">Il ricorso al quinto anno di contratto di solidarietà attraverso un accordo firmato a settembre del 2015 da </w:t>
      </w:r>
      <w:proofErr w:type="spellStart"/>
      <w:r w:rsidRPr="00DD768B">
        <w:rPr>
          <w:rFonts w:ascii="Verdana" w:eastAsiaTheme="minorEastAsia" w:hAnsi="Verdana"/>
          <w:lang w:eastAsia="it-IT"/>
        </w:rPr>
        <w:t>Fim</w:t>
      </w:r>
      <w:proofErr w:type="spellEnd"/>
      <w:r w:rsidRPr="00DD768B">
        <w:rPr>
          <w:rFonts w:ascii="Verdana" w:eastAsiaTheme="minorEastAsia" w:hAnsi="Verdana"/>
          <w:lang w:eastAsia="it-IT"/>
        </w:rPr>
        <w:t xml:space="preserve"> e </w:t>
      </w:r>
      <w:proofErr w:type="spellStart"/>
      <w:r w:rsidRPr="00DD768B">
        <w:rPr>
          <w:rFonts w:ascii="Verdana" w:eastAsiaTheme="minorEastAsia" w:hAnsi="Verdana"/>
          <w:lang w:eastAsia="it-IT"/>
        </w:rPr>
        <w:t>Uilm</w:t>
      </w:r>
      <w:proofErr w:type="spellEnd"/>
      <w:r w:rsidRPr="00DD768B">
        <w:rPr>
          <w:rFonts w:ascii="Verdana" w:eastAsiaTheme="minorEastAsia" w:hAnsi="Verdana"/>
          <w:lang w:eastAsia="it-IT"/>
        </w:rPr>
        <w:t xml:space="preserve"> e non dalla </w:t>
      </w:r>
      <w:proofErr w:type="spellStart"/>
      <w:r w:rsidRPr="00DD768B">
        <w:rPr>
          <w:rFonts w:ascii="Verdana" w:eastAsiaTheme="minorEastAsia" w:hAnsi="Verdana"/>
          <w:lang w:eastAsia="it-IT"/>
        </w:rPr>
        <w:t>Fiom</w:t>
      </w:r>
      <w:proofErr w:type="spellEnd"/>
      <w:r w:rsidRPr="00DD768B">
        <w:rPr>
          <w:rFonts w:ascii="Verdana" w:eastAsiaTheme="minorEastAsia" w:hAnsi="Verdana"/>
          <w:lang w:eastAsia="it-IT"/>
        </w:rPr>
        <w:t xml:space="preserve"> per l’assenza esplicita assenza di garanzie sul piano occupazione, conferma una prospettiva di incertezza che dipende, da un lato, dall’arresto di investimenti in nuovi impianti (come avvenuto fino al 2005</w:t>
      </w:r>
      <w:r w:rsidRPr="00DD768B">
        <w:rPr>
          <w:rFonts w:ascii="Verdana" w:eastAsiaTheme="minorEastAsia" w:hAnsi="Verdana"/>
          <w:vertAlign w:val="superscript"/>
          <w:lang w:eastAsia="it-IT"/>
        </w:rPr>
        <w:footnoteReference w:id="3"/>
      </w:r>
      <w:r w:rsidRPr="00DD768B">
        <w:rPr>
          <w:rFonts w:ascii="Verdana" w:eastAsiaTheme="minorEastAsia" w:hAnsi="Verdana"/>
          <w:lang w:eastAsia="it-IT"/>
        </w:rPr>
        <w:t>) e come conseguenza di ciò il posizionamento dello stabilimento nella produzione di una tipologia di prodotto a minor valore aggiunto, mentre l’investimento annunciato di 5 milioni di euro sulla pompa elettrica oltre che modesto non ha trovato finora nessun riscontro oggettivo; dall’altro lato, il ricorso alla mobilità volontaria</w:t>
      </w:r>
      <w:r w:rsidRPr="00DD768B">
        <w:rPr>
          <w:rFonts w:ascii="Verdana" w:eastAsiaTheme="minorEastAsia" w:hAnsi="Verdana"/>
          <w:vertAlign w:val="superscript"/>
          <w:lang w:eastAsia="it-IT"/>
        </w:rPr>
        <w:footnoteReference w:id="4"/>
      </w:r>
      <w:r w:rsidRPr="00DD768B">
        <w:rPr>
          <w:rFonts w:ascii="Verdana" w:eastAsiaTheme="minorEastAsia" w:hAnsi="Verdana"/>
          <w:lang w:eastAsia="it-IT"/>
        </w:rPr>
        <w:t xml:space="preserve"> e dunque la progressiva riduzione del personale, confermano piuttosto il rischio di un ridimensionamento dello stabilimento in termini produttivi e occupazionali</w:t>
      </w:r>
      <w:r w:rsidRPr="00DD768B">
        <w:rPr>
          <w:rFonts w:ascii="Verdana" w:eastAsiaTheme="minorEastAsia" w:hAnsi="Verdana"/>
          <w:vertAlign w:val="superscript"/>
          <w:lang w:eastAsia="it-IT"/>
        </w:rPr>
        <w:footnoteReference w:id="5"/>
      </w:r>
      <w:r w:rsidRPr="00DD768B">
        <w:rPr>
          <w:rFonts w:ascii="Verdana" w:eastAsiaTheme="minorEastAsia" w:hAnsi="Verdana"/>
          <w:lang w:eastAsia="it-IT"/>
        </w:rPr>
        <w:t xml:space="preserve">. Tutto ciò nel mentre la capacità produttiva dello stesso è rimasta molto elevata, quale risultato, </w:t>
      </w:r>
      <w:r w:rsidRPr="00DD768B">
        <w:rPr>
          <w:rFonts w:ascii="Verdana" w:eastAsiaTheme="minorEastAsia" w:hAnsi="Verdana"/>
          <w:lang w:eastAsia="it-IT"/>
        </w:rPr>
        <w:lastRenderedPageBreak/>
        <w:t>in assenza di nuovi investimenti, della riduzione dei tempi ciclo e dall’attribuzione di un maggiore carico di lavoro per addetto per effetto del maggior numero di postazioni da ricoprire (aumento della saturazione del tempo di lavoro).</w:t>
      </w:r>
    </w:p>
    <w:p w:rsidR="00DD768B" w:rsidRDefault="00DD768B" w:rsidP="00DD768B">
      <w:pPr>
        <w:spacing w:after="0" w:line="360" w:lineRule="auto"/>
        <w:ind w:firstLine="284"/>
        <w:jc w:val="both"/>
        <w:rPr>
          <w:rFonts w:ascii="Verdana" w:eastAsiaTheme="minorEastAsia" w:hAnsi="Verdana"/>
          <w:lang w:eastAsia="it-IT"/>
        </w:rPr>
      </w:pPr>
    </w:p>
    <w:p w:rsidR="00DD768B" w:rsidRDefault="00DD768B" w:rsidP="00DD768B">
      <w:pPr>
        <w:spacing w:after="0" w:line="360" w:lineRule="auto"/>
        <w:ind w:firstLine="284"/>
        <w:jc w:val="both"/>
        <w:rPr>
          <w:rFonts w:ascii="Verdana" w:eastAsiaTheme="minorEastAsia" w:hAnsi="Verdana"/>
          <w:lang w:eastAsia="it-IT"/>
        </w:rPr>
      </w:pP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 xml:space="preserve">Le produzioni dello stabilimento di Bari della </w:t>
      </w:r>
      <w:r w:rsidRPr="00DD768B">
        <w:rPr>
          <w:rFonts w:ascii="Verdana" w:eastAsiaTheme="minorEastAsia" w:hAnsi="Verdana"/>
          <w:b/>
          <w:lang w:eastAsia="it-IT"/>
        </w:rPr>
        <w:t>Magneti Marelli</w:t>
      </w:r>
      <w:r w:rsidRPr="00DD768B">
        <w:rPr>
          <w:rFonts w:ascii="Verdana" w:eastAsiaTheme="minorEastAsia" w:hAnsi="Verdana"/>
          <w:lang w:eastAsia="it-IT"/>
        </w:rPr>
        <w:t xml:space="preserve">, in attesa dell’avvio della produzione del motore elettrico per il settembre di quest’anno, riguardano il cambio </w:t>
      </w:r>
      <w:proofErr w:type="spellStart"/>
      <w:r w:rsidRPr="00DD768B">
        <w:rPr>
          <w:rFonts w:ascii="Verdana" w:eastAsiaTheme="minorEastAsia" w:hAnsi="Verdana"/>
          <w:lang w:eastAsia="it-IT"/>
        </w:rPr>
        <w:t>dual</w:t>
      </w:r>
      <w:proofErr w:type="spellEnd"/>
      <w:r w:rsidRPr="00DD768B">
        <w:rPr>
          <w:rFonts w:ascii="Verdana" w:eastAsiaTheme="minorEastAsia" w:hAnsi="Verdana"/>
          <w:lang w:eastAsia="it-IT"/>
        </w:rPr>
        <w:t xml:space="preserve"> clock, l’iniettore ad alta pressione benzina GDAI, quello a bassa pressione (PIKO). Il primo di questi iniettori è oggi prodotto principalmente per VOLKSWAGEN, il secondo è destinato soprattutto ai mercati asiatici</w:t>
      </w:r>
      <w:r w:rsidRPr="00DD768B">
        <w:rPr>
          <w:rFonts w:ascii="Verdana" w:eastAsiaTheme="minorEastAsia" w:hAnsi="Verdana"/>
          <w:vertAlign w:val="superscript"/>
          <w:lang w:eastAsia="it-IT"/>
        </w:rPr>
        <w:footnoteReference w:id="6"/>
      </w:r>
      <w:r w:rsidRPr="00DD768B">
        <w:rPr>
          <w:rFonts w:ascii="Verdana" w:eastAsiaTheme="minorEastAsia" w:hAnsi="Verdana"/>
          <w:lang w:eastAsia="it-IT"/>
        </w:rPr>
        <w:t xml:space="preserve">. Negli ultimi anni, tuttavia, lo stabilimento ha fatto strutturalmente ricorso, come altri stabilimenti Magneti Marelli, alla cassa integrazione ordinaria che anche quest’anno dovrebbe attestarsi sui 7-10 giorni al mese. L’investimento relativo all’assemblaggio del motore elettrico dovrebbe determinare tuttavia un mantenimento degli attuali livelli occupazionali (intorno ai 960 addetti). Si tratta di un investimento di 33 milioni di euro, che come altri in regione, ha beneficiato di un contributo pubblico derivante da un contratto di programma regionale per 9 milioni di euro. L’allestimento dei nuovi impianti è previsto per maggio di quest’anno, mentre l’inizio della produzione per settembre. La previsione iniziale è di 120 mila kit per un modello auto e un modello commerciale di Chrysler, entrambe in produzione negli Stati Uniti. Va osservato che rispetto al progetto di investimento iniziale, con il contributo concesso dalla Regione Puglia l’investimento è salito da 33 a 36 milioni, con il passaggio da un motore ibrido a un motore interamente elettrico e con la previsione di una nuova pompa e di un nuovo iniettore  a benzina. A quest’ultimo proposito va messo anche in evidenza che lo stabilimento di Bari per la produzione del motore elettrico ha costituito solo un team di ingegneri di poche unità per la fase di </w:t>
      </w:r>
      <w:r w:rsidRPr="00DD768B">
        <w:rPr>
          <w:rFonts w:ascii="Verdana" w:eastAsiaTheme="minorEastAsia" w:hAnsi="Verdana"/>
          <w:i/>
          <w:lang w:eastAsia="it-IT"/>
        </w:rPr>
        <w:t>start up</w:t>
      </w:r>
      <w:r w:rsidRPr="00DD768B">
        <w:rPr>
          <w:rFonts w:ascii="Verdana" w:eastAsiaTheme="minorEastAsia" w:hAnsi="Verdana"/>
          <w:lang w:eastAsia="it-IT"/>
        </w:rPr>
        <w:t xml:space="preserve"> essendo tutta la progettazione seguita dai laboratori di Bologna e in parte di Torino.</w:t>
      </w:r>
    </w:p>
    <w:p w:rsidR="00DD768B" w:rsidRDefault="00DD768B" w:rsidP="00675BB1">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 xml:space="preserve">Lo stabilimento della </w:t>
      </w:r>
      <w:r w:rsidRPr="00DD768B">
        <w:rPr>
          <w:rFonts w:ascii="Verdana" w:eastAsiaTheme="minorEastAsia" w:hAnsi="Verdana"/>
          <w:b/>
          <w:lang w:eastAsia="it-IT"/>
        </w:rPr>
        <w:t>GETRAG</w:t>
      </w:r>
      <w:r w:rsidRPr="00DD768B">
        <w:rPr>
          <w:rFonts w:ascii="Verdana" w:eastAsiaTheme="minorEastAsia" w:hAnsi="Verdana"/>
          <w:lang w:eastAsia="it-IT"/>
        </w:rPr>
        <w:t xml:space="preserve"> (dallo scorso anno gruppo MAGNA) si è insediato nel 1996 originariamente per rispondere a una grande commessa di GM relativa avvio della produzione del cambio modello F23 nel 1998. Nell’insediamento originario insisteva anche un laboratorio di R&amp;S con circa venti addetti che tuttavia nel corso degli anni è stato progressivamente ridotto come conseguenza dell’accentramento delle attività di ricerca in Germania. Lo stabilimento conta oggi 870 dipendenti </w:t>
      </w:r>
      <w:r w:rsidRPr="00DD768B">
        <w:rPr>
          <w:rFonts w:ascii="Verdana" w:eastAsiaTheme="minorEastAsia" w:hAnsi="Verdana"/>
          <w:lang w:eastAsia="it-IT"/>
        </w:rPr>
        <w:lastRenderedPageBreak/>
        <w:t xml:space="preserve">impegnati sulla produzione di cambio a doppia frizione (DCT 250) in attesa della realizzazione di un nuovo investimento di 100 milioni di euro per il nuovo cambio sempre a doppia frizione (DCT 300), che in parte ha beneficiato di un contratto di programma regionale, che dovrebbe contribuire sia in termini di capacità produttiva </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che per numero di addetti far diventare questo stabilimento il primo per dimensione. Va evidenziato che la produzione del nuovo cambio è stata progettata interamente in Germania, che anche per il concorso del contributo regionale ha deciso infine per l’industrializzazione dello stesso nello stabilimento di Bari</w:t>
      </w:r>
      <w:r w:rsidRPr="00DD768B">
        <w:rPr>
          <w:rFonts w:ascii="Verdana" w:eastAsiaTheme="minorEastAsia" w:hAnsi="Verdana"/>
          <w:vertAlign w:val="superscript"/>
          <w:lang w:eastAsia="it-IT"/>
        </w:rPr>
        <w:footnoteReference w:id="7"/>
      </w:r>
      <w:r w:rsidRPr="00DD768B">
        <w:rPr>
          <w:rFonts w:ascii="Verdana" w:eastAsiaTheme="minorEastAsia" w:hAnsi="Verdana"/>
          <w:lang w:eastAsia="it-IT"/>
        </w:rPr>
        <w:t>. Oggi i principali clienti del gruppo sono FORD e Renault ed è proprio la diversificazione dei committenti ha evitato il rischio di chiusura dello stabilimento nel 2007 a seguito della conclusione della commessa di GM per cui lo stabilimento era in qualche modo originariamente sorto. Come già nel caso dello stabilimento BOSCH l’aumento della produttività conseguito nello stabilimento è in parte anche il risultato dell’aumento dei ritmi e dei carichi di lavoro, un dato confermato anche dai dati dell’indagine svolto su un campione di lavoratori di queste stesse aziende.</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 xml:space="preserve">Una domanda aperta è quale sia l’indotto delle principali aziende della componentistica. I casi di BOSH, GETRAG e MAGNETI MARELLI evidenziano che l’indotto è rimasto limitato finora a poche aziende, concentrato principalmente sui servizi indiretti (manutenzioni, pulizie, servizi di ristorazione, ecc.) e su alcune piccole produzioni/lavorazioni di secondo e terzo livello, a causa anche della prevalenza della centralizzazione degli acquisti in sedi diverse da quelle di Bari. Va detto che per effetto della crisi degli ultimi anni le imprese hanno proceduto in alcuni casi alla </w:t>
      </w:r>
      <w:proofErr w:type="spellStart"/>
      <w:r w:rsidRPr="00DD768B">
        <w:rPr>
          <w:rFonts w:ascii="Verdana" w:eastAsiaTheme="minorEastAsia" w:hAnsi="Verdana"/>
          <w:lang w:eastAsia="it-IT"/>
        </w:rPr>
        <w:t>reinternalizzazione</w:t>
      </w:r>
      <w:proofErr w:type="spellEnd"/>
      <w:r w:rsidRPr="00DD768B">
        <w:rPr>
          <w:rFonts w:ascii="Verdana" w:eastAsiaTheme="minorEastAsia" w:hAnsi="Verdana"/>
          <w:lang w:eastAsia="it-IT"/>
        </w:rPr>
        <w:t xml:space="preserve"> di alcune lavorazioni (è il caso di MM che aveva esternalizzato una parte della lavorazione dell’iniettore diesel), finalizzati principalmente alla tenuta dell’occupazione.</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 xml:space="preserve">Nel complesso l’occupazione delle sole grandi aziende del settore </w:t>
      </w:r>
      <w:proofErr w:type="spellStart"/>
      <w:r w:rsidRPr="00DD768B">
        <w:rPr>
          <w:rFonts w:ascii="Verdana" w:eastAsiaTheme="minorEastAsia" w:hAnsi="Verdana"/>
          <w:lang w:eastAsia="it-IT"/>
        </w:rPr>
        <w:t>automotive</w:t>
      </w:r>
      <w:proofErr w:type="spellEnd"/>
      <w:r w:rsidRPr="00DD768B">
        <w:rPr>
          <w:rFonts w:ascii="Verdana" w:eastAsiaTheme="minorEastAsia" w:hAnsi="Verdana"/>
          <w:lang w:eastAsia="it-IT"/>
        </w:rPr>
        <w:t xml:space="preserve"> in provincia di Bari è oggi stimabile intorno ai 5 mia addetti compreso il centro ricerche della BOSCH di Bari (</w:t>
      </w:r>
      <w:proofErr w:type="spellStart"/>
      <w:r w:rsidRPr="00DD768B">
        <w:rPr>
          <w:rFonts w:ascii="Verdana" w:eastAsiaTheme="minorEastAsia" w:hAnsi="Verdana"/>
          <w:lang w:eastAsia="it-IT"/>
        </w:rPr>
        <w:t>tab</w:t>
      </w:r>
      <w:proofErr w:type="spellEnd"/>
      <w:r w:rsidRPr="00DD768B">
        <w:rPr>
          <w:rFonts w:ascii="Verdana" w:eastAsiaTheme="minorEastAsia" w:hAnsi="Verdana"/>
          <w:lang w:eastAsia="it-IT"/>
        </w:rPr>
        <w:t xml:space="preserve">. 10). Se poi si considerano l’insieme delle aziende del distretto della meccatronica, che si allarga soprattutto a piccole imprese, molte </w:t>
      </w:r>
      <w:r w:rsidR="00B71C0B">
        <w:rPr>
          <w:rFonts w:ascii="Verdana" w:eastAsiaTheme="minorEastAsia" w:hAnsi="Verdana"/>
          <w:lang w:eastAsia="it-IT"/>
        </w:rPr>
        <w:t xml:space="preserve">delle </w:t>
      </w:r>
      <w:r w:rsidRPr="00DD768B">
        <w:rPr>
          <w:rFonts w:ascii="Verdana" w:eastAsiaTheme="minorEastAsia" w:hAnsi="Verdana"/>
          <w:lang w:eastAsia="it-IT"/>
        </w:rPr>
        <w:lastRenderedPageBreak/>
        <w:t xml:space="preserve">quali, </w:t>
      </w:r>
      <w:proofErr w:type="spellStart"/>
      <w:r w:rsidRPr="00DD768B">
        <w:rPr>
          <w:rFonts w:ascii="Verdana" w:eastAsiaTheme="minorEastAsia" w:hAnsi="Verdana"/>
          <w:lang w:eastAsia="it-IT"/>
        </w:rPr>
        <w:t>pluriprodotto</w:t>
      </w:r>
      <w:proofErr w:type="spellEnd"/>
      <w:r w:rsidRPr="00DD768B">
        <w:rPr>
          <w:rFonts w:ascii="Verdana" w:eastAsiaTheme="minorEastAsia" w:hAnsi="Verdana"/>
          <w:lang w:eastAsia="it-IT"/>
        </w:rPr>
        <w:t xml:space="preserve"> l’occupazione è maggiore di almeno 2 mila unità, solo con riferimento alla provincia di Bari ed escludendo l’impianto della Bridgestone. </w:t>
      </w:r>
    </w:p>
    <w:p w:rsidR="00DD768B" w:rsidRPr="00DD768B" w:rsidRDefault="00DD768B" w:rsidP="00DD768B">
      <w:pPr>
        <w:spacing w:after="0" w:line="360" w:lineRule="auto"/>
        <w:ind w:firstLine="284"/>
        <w:jc w:val="both"/>
        <w:rPr>
          <w:rFonts w:ascii="Verdana" w:eastAsiaTheme="minorEastAsia" w:hAnsi="Verdana"/>
          <w:lang w:eastAsia="it-IT"/>
        </w:rPr>
      </w:pPr>
    </w:p>
    <w:p w:rsidR="00DD768B" w:rsidRPr="00DD768B" w:rsidRDefault="00DD768B" w:rsidP="00DD768B">
      <w:pPr>
        <w:spacing w:after="0" w:line="360" w:lineRule="auto"/>
        <w:jc w:val="both"/>
        <w:rPr>
          <w:rFonts w:ascii="Verdana" w:eastAsiaTheme="minorEastAsia" w:hAnsi="Verdana"/>
          <w:sz w:val="20"/>
          <w:szCs w:val="20"/>
          <w:lang w:eastAsia="it-IT"/>
        </w:rPr>
      </w:pPr>
      <w:proofErr w:type="spellStart"/>
      <w:r w:rsidRPr="00DD768B">
        <w:rPr>
          <w:rFonts w:ascii="Verdana" w:eastAsiaTheme="minorEastAsia" w:hAnsi="Verdana"/>
          <w:sz w:val="20"/>
          <w:szCs w:val="20"/>
          <w:lang w:eastAsia="it-IT"/>
        </w:rPr>
        <w:t>Tab</w:t>
      </w:r>
      <w:proofErr w:type="spellEnd"/>
      <w:r w:rsidRPr="00DD768B">
        <w:rPr>
          <w:rFonts w:ascii="Verdana" w:eastAsiaTheme="minorEastAsia" w:hAnsi="Verdana"/>
          <w:sz w:val="20"/>
          <w:szCs w:val="20"/>
          <w:lang w:eastAsia="it-IT"/>
        </w:rPr>
        <w:t xml:space="preserve">. 10 – Caratteristiche riassuntive delle principali aziende della componentistica </w:t>
      </w:r>
      <w:proofErr w:type="spellStart"/>
      <w:r w:rsidRPr="00DD768B">
        <w:rPr>
          <w:rFonts w:ascii="Verdana" w:eastAsiaTheme="minorEastAsia" w:hAnsi="Verdana"/>
          <w:sz w:val="20"/>
          <w:szCs w:val="20"/>
          <w:lang w:eastAsia="it-IT"/>
        </w:rPr>
        <w:t>automotive</w:t>
      </w:r>
      <w:proofErr w:type="spellEnd"/>
      <w:r w:rsidRPr="00DD768B">
        <w:rPr>
          <w:rFonts w:ascii="Verdana" w:eastAsiaTheme="minorEastAsia" w:hAnsi="Verdana"/>
          <w:sz w:val="20"/>
          <w:szCs w:val="20"/>
          <w:lang w:eastAsia="it-IT"/>
        </w:rPr>
        <w:t xml:space="preserve"> in provincia di Bari e di altre del comparto meccatronico – Marzo 2016</w:t>
      </w:r>
    </w:p>
    <w:tbl>
      <w:tblPr>
        <w:tblStyle w:val="Sfondochiaro"/>
        <w:tblW w:w="8505" w:type="dxa"/>
        <w:tblInd w:w="108" w:type="dxa"/>
        <w:tblLayout w:type="fixed"/>
        <w:tblLook w:val="04A0" w:firstRow="1" w:lastRow="0" w:firstColumn="1" w:lastColumn="0" w:noHBand="0" w:noVBand="1"/>
      </w:tblPr>
      <w:tblGrid>
        <w:gridCol w:w="1560"/>
        <w:gridCol w:w="1959"/>
        <w:gridCol w:w="2010"/>
        <w:gridCol w:w="1984"/>
        <w:gridCol w:w="992"/>
      </w:tblGrid>
      <w:tr w:rsidR="00DD768B" w:rsidRPr="00DD768B" w:rsidTr="001216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jc w:val="center"/>
              <w:rPr>
                <w:rFonts w:ascii="Verdana" w:hAnsi="Verdana"/>
                <w:sz w:val="20"/>
                <w:szCs w:val="20"/>
              </w:rPr>
            </w:pPr>
            <w:r w:rsidRPr="00DD768B">
              <w:rPr>
                <w:rFonts w:ascii="Verdana" w:hAnsi="Verdana"/>
                <w:sz w:val="20"/>
                <w:szCs w:val="20"/>
              </w:rPr>
              <w:t>Azienda</w:t>
            </w:r>
          </w:p>
        </w:tc>
        <w:tc>
          <w:tcPr>
            <w:tcW w:w="1959" w:type="dxa"/>
            <w:tcBorders>
              <w:left w:val="single" w:sz="4" w:space="0" w:color="auto"/>
            </w:tcBorders>
            <w:vAlign w:val="center"/>
          </w:tcPr>
          <w:p w:rsidR="00DD768B" w:rsidRPr="00DD768B" w:rsidRDefault="00DD768B" w:rsidP="00DD768B">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Attività produttiva</w:t>
            </w:r>
          </w:p>
        </w:tc>
        <w:tc>
          <w:tcPr>
            <w:tcW w:w="2010" w:type="dxa"/>
            <w:vAlign w:val="center"/>
          </w:tcPr>
          <w:p w:rsidR="00DD768B" w:rsidRPr="00DD768B" w:rsidRDefault="00DD768B" w:rsidP="00DD768B">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Ricorso agli ammortizzatori sociali</w:t>
            </w:r>
          </w:p>
        </w:tc>
        <w:tc>
          <w:tcPr>
            <w:tcW w:w="1984" w:type="dxa"/>
            <w:vAlign w:val="center"/>
          </w:tcPr>
          <w:p w:rsidR="00DD768B" w:rsidRPr="00DD768B" w:rsidRDefault="00DD768B" w:rsidP="00DD768B">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Investimenti</w:t>
            </w:r>
          </w:p>
          <w:p w:rsidR="00DD768B" w:rsidRPr="00DD768B" w:rsidRDefault="00DD768B" w:rsidP="00DD768B">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in corso</w:t>
            </w:r>
          </w:p>
        </w:tc>
        <w:tc>
          <w:tcPr>
            <w:tcW w:w="992" w:type="dxa"/>
            <w:vAlign w:val="center"/>
          </w:tcPr>
          <w:p w:rsidR="00DD768B" w:rsidRPr="00DD768B" w:rsidRDefault="00DD768B" w:rsidP="00DD768B">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Addetti</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BOSCH</w:t>
            </w:r>
          </w:p>
        </w:tc>
        <w:tc>
          <w:tcPr>
            <w:tcW w:w="1959" w:type="dxa"/>
            <w:tcBorders>
              <w:left w:val="single" w:sz="4" w:space="0" w:color="auto"/>
            </w:tcBorders>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Pompa diesel</w:t>
            </w:r>
          </w:p>
        </w:tc>
        <w:tc>
          <w:tcPr>
            <w:tcW w:w="2010" w:type="dxa"/>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Contratto di solidarietà (ultimo firmato a settembre 2015)</w:t>
            </w:r>
          </w:p>
        </w:tc>
        <w:tc>
          <w:tcPr>
            <w:tcW w:w="1984" w:type="dxa"/>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992" w:type="dxa"/>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1.970</w:t>
            </w:r>
          </w:p>
        </w:tc>
      </w:tr>
      <w:tr w:rsidR="00DD768B" w:rsidRPr="00DD768B" w:rsidTr="00121685">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BOSCH (Centro di ricerca)</w:t>
            </w:r>
          </w:p>
        </w:tc>
        <w:tc>
          <w:tcPr>
            <w:tcW w:w="1959" w:type="dxa"/>
            <w:tcBorders>
              <w:left w:val="single" w:sz="4" w:space="0" w:color="auto"/>
            </w:tcBorders>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Attività di R&amp;S</w:t>
            </w:r>
          </w:p>
        </w:tc>
        <w:tc>
          <w:tcPr>
            <w:tcW w:w="2010" w:type="dxa"/>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984" w:type="dxa"/>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Adeguamento strutture fisiche della struttura</w:t>
            </w:r>
          </w:p>
        </w:tc>
        <w:tc>
          <w:tcPr>
            <w:tcW w:w="992" w:type="dxa"/>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200</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SKF</w:t>
            </w:r>
          </w:p>
        </w:tc>
        <w:tc>
          <w:tcPr>
            <w:tcW w:w="1959" w:type="dxa"/>
            <w:tcBorders>
              <w:left w:val="single" w:sz="4" w:space="0" w:color="auto"/>
            </w:tcBorders>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Cuscinetti a sfera</w:t>
            </w:r>
          </w:p>
        </w:tc>
        <w:tc>
          <w:tcPr>
            <w:tcW w:w="2010" w:type="dxa"/>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984" w:type="dxa"/>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992" w:type="dxa"/>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300</w:t>
            </w:r>
          </w:p>
        </w:tc>
      </w:tr>
      <w:tr w:rsidR="00DD768B" w:rsidRPr="00DD768B" w:rsidTr="00121685">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Graziano Trasmissioni (Gruppo ORLIKON)</w:t>
            </w:r>
          </w:p>
        </w:tc>
        <w:tc>
          <w:tcPr>
            <w:tcW w:w="1959" w:type="dxa"/>
            <w:tcBorders>
              <w:left w:val="single" w:sz="4" w:space="0" w:color="auto"/>
            </w:tcBorders>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Trasmissioni per macchine movimento terra (lo stabilimento in provincia di Torino si occupa della produzione per l’auto)</w:t>
            </w:r>
          </w:p>
        </w:tc>
        <w:tc>
          <w:tcPr>
            <w:tcW w:w="2010" w:type="dxa"/>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L’azienda ha avviato in passato mobilità volontaria</w:t>
            </w:r>
          </w:p>
        </w:tc>
        <w:tc>
          <w:tcPr>
            <w:tcW w:w="1984" w:type="dxa"/>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992" w:type="dxa"/>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560</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GETRAG</w:t>
            </w:r>
          </w:p>
        </w:tc>
        <w:tc>
          <w:tcPr>
            <w:tcW w:w="1959" w:type="dxa"/>
            <w:tcBorders>
              <w:left w:val="single" w:sz="4" w:space="0" w:color="auto"/>
            </w:tcBorders>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cambio</w:t>
            </w:r>
          </w:p>
        </w:tc>
        <w:tc>
          <w:tcPr>
            <w:tcW w:w="2010" w:type="dxa"/>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984" w:type="dxa"/>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992" w:type="dxa"/>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870</w:t>
            </w:r>
          </w:p>
        </w:tc>
      </w:tr>
      <w:tr w:rsidR="00DD768B" w:rsidRPr="00DD768B" w:rsidTr="00121685">
        <w:trPr>
          <w:trHeight w:val="608"/>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MAGNETI MARELLI</w:t>
            </w:r>
          </w:p>
        </w:tc>
        <w:tc>
          <w:tcPr>
            <w:tcW w:w="1959" w:type="dxa"/>
            <w:tcBorders>
              <w:left w:val="single" w:sz="4" w:space="0" w:color="auto"/>
            </w:tcBorders>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 xml:space="preserve">Iniettore diesel </w:t>
            </w:r>
          </w:p>
        </w:tc>
        <w:tc>
          <w:tcPr>
            <w:tcW w:w="2010" w:type="dxa"/>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Ricorso periodico alla CIGO per una parte dei dipendenti</w:t>
            </w:r>
          </w:p>
        </w:tc>
        <w:tc>
          <w:tcPr>
            <w:tcW w:w="1984" w:type="dxa"/>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Linea di assemblaggio del motore elettrico</w:t>
            </w:r>
          </w:p>
        </w:tc>
        <w:tc>
          <w:tcPr>
            <w:tcW w:w="992" w:type="dxa"/>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960</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CRF (Valenzano)</w:t>
            </w:r>
          </w:p>
        </w:tc>
        <w:tc>
          <w:tcPr>
            <w:tcW w:w="1959" w:type="dxa"/>
            <w:tcBorders>
              <w:left w:val="single" w:sz="4" w:space="0" w:color="auto"/>
            </w:tcBorders>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Attività di ricerca (attualmente sui motori a gas)</w:t>
            </w:r>
          </w:p>
        </w:tc>
        <w:tc>
          <w:tcPr>
            <w:tcW w:w="2010" w:type="dxa"/>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984" w:type="dxa"/>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992" w:type="dxa"/>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20</w:t>
            </w:r>
          </w:p>
        </w:tc>
      </w:tr>
      <w:tr w:rsidR="00DD768B" w:rsidRPr="00DD768B" w:rsidTr="00121685">
        <w:trPr>
          <w:trHeight w:val="764"/>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MASMEC</w:t>
            </w:r>
          </w:p>
        </w:tc>
        <w:tc>
          <w:tcPr>
            <w:tcW w:w="5953" w:type="dxa"/>
            <w:gridSpan w:val="3"/>
            <w:tcBorders>
              <w:left w:val="single" w:sz="4" w:space="0" w:color="auto"/>
            </w:tcBorders>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Linee di assemblaggio (robotica per le aziende del settore)</w:t>
            </w:r>
          </w:p>
        </w:tc>
        <w:tc>
          <w:tcPr>
            <w:tcW w:w="992" w:type="dxa"/>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DD768B" w:rsidRPr="00DD768B" w:rsidTr="00121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BROVEDANI</w:t>
            </w:r>
          </w:p>
        </w:tc>
        <w:tc>
          <w:tcPr>
            <w:tcW w:w="5953" w:type="dxa"/>
            <w:gridSpan w:val="3"/>
            <w:tcBorders>
              <w:left w:val="single" w:sz="4" w:space="0" w:color="auto"/>
            </w:tcBorders>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Meccanica fine per auto</w:t>
            </w:r>
          </w:p>
        </w:tc>
        <w:tc>
          <w:tcPr>
            <w:tcW w:w="992" w:type="dxa"/>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DD768B" w:rsidRPr="00DD768B" w:rsidTr="00121685">
        <w:trPr>
          <w:trHeight w:val="609"/>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DIAMEC</w:t>
            </w:r>
          </w:p>
        </w:tc>
        <w:tc>
          <w:tcPr>
            <w:tcW w:w="5953" w:type="dxa"/>
            <w:gridSpan w:val="3"/>
            <w:tcBorders>
              <w:left w:val="single" w:sz="4" w:space="0" w:color="auto"/>
            </w:tcBorders>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Macchine industriali per l’automazione</w:t>
            </w:r>
          </w:p>
        </w:tc>
        <w:tc>
          <w:tcPr>
            <w:tcW w:w="992" w:type="dxa"/>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DD768B" w:rsidRPr="00DD768B" w:rsidTr="00121685">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UNITRAT</w:t>
            </w:r>
          </w:p>
        </w:tc>
        <w:tc>
          <w:tcPr>
            <w:tcW w:w="5953" w:type="dxa"/>
            <w:gridSpan w:val="3"/>
            <w:tcBorders>
              <w:left w:val="single" w:sz="4" w:space="0" w:color="auto"/>
            </w:tcBorders>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Trattamento e rivestimento termici dei metalli</w:t>
            </w:r>
          </w:p>
        </w:tc>
        <w:tc>
          <w:tcPr>
            <w:tcW w:w="992" w:type="dxa"/>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DD768B" w:rsidRPr="00DD768B" w:rsidTr="00121685">
        <w:trPr>
          <w:trHeight w:val="567"/>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CMT</w:t>
            </w:r>
          </w:p>
        </w:tc>
        <w:tc>
          <w:tcPr>
            <w:tcW w:w="5953" w:type="dxa"/>
            <w:gridSpan w:val="3"/>
            <w:tcBorders>
              <w:left w:val="single" w:sz="4" w:space="0" w:color="auto"/>
            </w:tcBorders>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Costruzione impianti di torneria meccanica</w:t>
            </w:r>
          </w:p>
        </w:tc>
        <w:tc>
          <w:tcPr>
            <w:tcW w:w="992" w:type="dxa"/>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DD768B" w:rsidRPr="00DD768B" w:rsidTr="001216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BELLINO</w:t>
            </w:r>
          </w:p>
        </w:tc>
        <w:tc>
          <w:tcPr>
            <w:tcW w:w="5953" w:type="dxa"/>
            <w:gridSpan w:val="3"/>
            <w:tcBorders>
              <w:left w:val="single" w:sz="4" w:space="0" w:color="auto"/>
            </w:tcBorders>
            <w:vAlign w:val="center"/>
          </w:tcPr>
          <w:p w:rsidR="00DD768B" w:rsidRPr="00DD768B" w:rsidRDefault="00DD768B" w:rsidP="00DD768B">
            <w:pP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DD768B">
              <w:rPr>
                <w:rFonts w:ascii="Verdana" w:hAnsi="Verdana"/>
                <w:sz w:val="20"/>
                <w:szCs w:val="20"/>
              </w:rPr>
              <w:t>Valvole di regolazione e utensili di perforazione</w:t>
            </w:r>
          </w:p>
        </w:tc>
        <w:tc>
          <w:tcPr>
            <w:tcW w:w="992" w:type="dxa"/>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DD768B" w:rsidRPr="00DD768B" w:rsidTr="00121685">
        <w:trPr>
          <w:trHeight w:val="413"/>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vAlign w:val="center"/>
          </w:tcPr>
          <w:p w:rsidR="00DD768B" w:rsidRPr="00DD768B" w:rsidRDefault="00DD768B" w:rsidP="00DD768B">
            <w:pPr>
              <w:rPr>
                <w:rFonts w:ascii="Verdana" w:hAnsi="Verdana"/>
                <w:sz w:val="20"/>
                <w:szCs w:val="20"/>
              </w:rPr>
            </w:pPr>
            <w:r w:rsidRPr="00DD768B">
              <w:rPr>
                <w:rFonts w:ascii="Verdana" w:hAnsi="Verdana"/>
                <w:sz w:val="20"/>
                <w:szCs w:val="20"/>
              </w:rPr>
              <w:t>SUPRE</w:t>
            </w:r>
          </w:p>
        </w:tc>
        <w:tc>
          <w:tcPr>
            <w:tcW w:w="5953" w:type="dxa"/>
            <w:gridSpan w:val="3"/>
            <w:tcBorders>
              <w:left w:val="single" w:sz="4" w:space="0" w:color="auto"/>
            </w:tcBorders>
            <w:vAlign w:val="center"/>
          </w:tcPr>
          <w:p w:rsidR="00DD768B" w:rsidRPr="00DD768B" w:rsidRDefault="00DD768B" w:rsidP="00DD768B">
            <w:pP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DD768B">
              <w:rPr>
                <w:rFonts w:ascii="Verdana" w:hAnsi="Verdana"/>
                <w:sz w:val="20"/>
                <w:szCs w:val="20"/>
              </w:rPr>
              <w:t>Componenti meccanici di precisione</w:t>
            </w:r>
          </w:p>
        </w:tc>
        <w:tc>
          <w:tcPr>
            <w:tcW w:w="992" w:type="dxa"/>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bl>
    <w:p w:rsidR="00DD768B" w:rsidRPr="00DD768B" w:rsidRDefault="00DD768B" w:rsidP="00DD768B">
      <w:pPr>
        <w:spacing w:after="0" w:line="360" w:lineRule="auto"/>
        <w:jc w:val="both"/>
        <w:rPr>
          <w:rFonts w:ascii="Verdana" w:eastAsiaTheme="minorEastAsia" w:hAnsi="Verdana"/>
          <w:sz w:val="20"/>
          <w:szCs w:val="20"/>
          <w:lang w:eastAsia="it-IT"/>
        </w:rPr>
      </w:pPr>
      <w:r w:rsidRPr="00DD768B">
        <w:rPr>
          <w:rFonts w:ascii="Verdana" w:eastAsiaTheme="minorEastAsia" w:hAnsi="Verdana"/>
          <w:i/>
          <w:sz w:val="20"/>
          <w:szCs w:val="20"/>
          <w:lang w:eastAsia="it-IT"/>
        </w:rPr>
        <w:t>Fonte</w:t>
      </w:r>
      <w:r w:rsidRPr="00DD768B">
        <w:rPr>
          <w:rFonts w:ascii="Verdana" w:eastAsiaTheme="minorEastAsia" w:hAnsi="Verdana"/>
          <w:sz w:val="20"/>
          <w:szCs w:val="20"/>
          <w:lang w:eastAsia="it-IT"/>
        </w:rPr>
        <w:t>: ns. indagine diretta.</w:t>
      </w:r>
    </w:p>
    <w:p w:rsidR="00DD768B" w:rsidRPr="00DD768B" w:rsidRDefault="00DD768B" w:rsidP="00DD768B">
      <w:pPr>
        <w:spacing w:after="0" w:line="360" w:lineRule="auto"/>
        <w:jc w:val="both"/>
        <w:rPr>
          <w:rFonts w:ascii="Verdana" w:eastAsiaTheme="minorEastAsia" w:hAnsi="Verdana"/>
          <w:sz w:val="20"/>
          <w:szCs w:val="20"/>
          <w:lang w:eastAsia="it-IT"/>
        </w:rPr>
      </w:pP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 xml:space="preserve">Il comparto </w:t>
      </w:r>
      <w:proofErr w:type="spellStart"/>
      <w:r w:rsidRPr="00DD768B">
        <w:rPr>
          <w:rFonts w:ascii="Verdana" w:eastAsiaTheme="minorEastAsia" w:hAnsi="Verdana"/>
          <w:lang w:eastAsia="it-IT"/>
        </w:rPr>
        <w:t>dell’automotive</w:t>
      </w:r>
      <w:proofErr w:type="spellEnd"/>
      <w:r w:rsidRPr="00DD768B">
        <w:rPr>
          <w:rFonts w:ascii="Verdana" w:eastAsiaTheme="minorEastAsia" w:hAnsi="Verdana"/>
          <w:lang w:eastAsia="it-IT"/>
        </w:rPr>
        <w:t xml:space="preserve"> pugliese è concentrato, di fatto, in provincia di Bari, se si fa eccezione per gli stabilimenti FIAT POWER TRAIN di Foggia e CASE NEW HOLLAND (CNH) di Lecce, considerato anche che entrambe gli stabilimenti hanno un </w:t>
      </w:r>
      <w:r w:rsidRPr="00DD768B">
        <w:rPr>
          <w:rFonts w:ascii="Verdana" w:eastAsiaTheme="minorEastAsia" w:hAnsi="Verdana"/>
          <w:lang w:eastAsia="it-IT"/>
        </w:rPr>
        <w:lastRenderedPageBreak/>
        <w:t xml:space="preserve">ridotto indotto locale, con qualche eccezione solo per lo stabilimento CNH di Lecce e che in provincia di Brindisi e Taranto aziende della filiera </w:t>
      </w:r>
      <w:proofErr w:type="spellStart"/>
      <w:r w:rsidRPr="00DD768B">
        <w:rPr>
          <w:rFonts w:ascii="Verdana" w:eastAsiaTheme="minorEastAsia" w:hAnsi="Verdana"/>
          <w:lang w:eastAsia="it-IT"/>
        </w:rPr>
        <w:t>automotive</w:t>
      </w:r>
      <w:proofErr w:type="spellEnd"/>
      <w:r w:rsidRPr="00DD768B">
        <w:rPr>
          <w:rFonts w:ascii="Verdana" w:eastAsiaTheme="minorEastAsia" w:hAnsi="Verdana"/>
          <w:lang w:eastAsia="it-IT"/>
        </w:rPr>
        <w:t xml:space="preserve"> sono quasi del tutto assenti, con l’eccezione della T.I. Automotive di Brindisi che produce tubi freno essenzialmente per gli stabilimenti del Gruppo FCA.</w:t>
      </w:r>
    </w:p>
    <w:p w:rsid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Lo stabilimento di Foggia produce motori di elevata cilindrata (quelli che vanno sul Ducato e su altri veicoli commerciali Mercedes) e alberi motori. La produzione di motori per il 2016 dovrebbe essere di 315 mila contro i 290 mila del 2015; quella degli alberi motore di circa 380 mila contro i 350 mila del 2015 (</w:t>
      </w:r>
      <w:proofErr w:type="spellStart"/>
      <w:r w:rsidRPr="00DD768B">
        <w:rPr>
          <w:rFonts w:ascii="Verdana" w:eastAsiaTheme="minorEastAsia" w:hAnsi="Verdana"/>
          <w:lang w:eastAsia="it-IT"/>
        </w:rPr>
        <w:t>tab</w:t>
      </w:r>
      <w:proofErr w:type="spellEnd"/>
      <w:r w:rsidRPr="00DD768B">
        <w:rPr>
          <w:rFonts w:ascii="Verdana" w:eastAsiaTheme="minorEastAsia" w:hAnsi="Verdana"/>
          <w:lang w:eastAsia="it-IT"/>
        </w:rPr>
        <w:t xml:space="preserve">. 11). Questi numeri confermano, dunque, per questo stabilimento una situazione produttiva positiva, considerato che negli ultimi anni è uno dei pochi stabilimenti dei gruppi CNH e FCA a non aver fatto ricorso alla cassa integrazione e ad aver impiegato lavoratori in </w:t>
      </w:r>
    </w:p>
    <w:p w:rsidR="00DD768B" w:rsidRDefault="00DD768B" w:rsidP="00DD768B">
      <w:pPr>
        <w:spacing w:after="0" w:line="360" w:lineRule="auto"/>
        <w:ind w:firstLine="284"/>
        <w:jc w:val="both"/>
        <w:rPr>
          <w:rFonts w:ascii="Verdana" w:eastAsiaTheme="minorEastAsia" w:hAnsi="Verdana"/>
          <w:lang w:eastAsia="it-IT"/>
        </w:rPr>
      </w:pP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somministrazione, come avviene ancora oggi con i circa 130 lavoratori interinali con contratto week-end che si aggiungono ai 1.700 dipendenti</w:t>
      </w:r>
      <w:r w:rsidRPr="00DD768B">
        <w:rPr>
          <w:rFonts w:ascii="Verdana" w:eastAsiaTheme="minorEastAsia" w:hAnsi="Verdana"/>
          <w:vertAlign w:val="superscript"/>
          <w:lang w:eastAsia="it-IT"/>
        </w:rPr>
        <w:footnoteReference w:id="8"/>
      </w:r>
      <w:r w:rsidRPr="00DD768B">
        <w:rPr>
          <w:rFonts w:ascii="Verdana" w:eastAsiaTheme="minorEastAsia" w:hAnsi="Verdana"/>
          <w:lang w:eastAsia="it-IT"/>
        </w:rPr>
        <w:t xml:space="preserve"> dello stabilimento impiegati su 15 turni di produzione settimanali anche se con frequenti ricorsi allo straordinario sia al sabato mattina che alla domenica, come confermano i dati che emergono dall’inchiesta tramite questionario che abbiamo condotto in questo stabilimento.</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Questo stabilimento non ha a bordo stabilimento o nell’area più prossima aziende fornitrici. Le uniche imprese “locali” che lavorano per contro di FPT lo fanno principalmente per attività legate ai servizi indiretti di manutenzione, con l’unica eccezione della LAMES per la fornitura dei sotto-basamenti, ma localizzata in provincia di Avellino (</w:t>
      </w:r>
      <w:proofErr w:type="spellStart"/>
      <w:r w:rsidRPr="00DD768B">
        <w:rPr>
          <w:rFonts w:ascii="Verdana" w:eastAsiaTheme="minorEastAsia" w:hAnsi="Verdana"/>
          <w:lang w:eastAsia="it-IT"/>
        </w:rPr>
        <w:t>tab</w:t>
      </w:r>
      <w:proofErr w:type="spellEnd"/>
      <w:r w:rsidRPr="00DD768B">
        <w:rPr>
          <w:rFonts w:ascii="Verdana" w:eastAsiaTheme="minorEastAsia" w:hAnsi="Verdana"/>
          <w:lang w:eastAsia="it-IT"/>
        </w:rPr>
        <w:t>. 12).</w:t>
      </w:r>
    </w:p>
    <w:p w:rsidR="00DD768B" w:rsidRPr="00DD768B" w:rsidRDefault="00DD768B" w:rsidP="00DD768B">
      <w:pPr>
        <w:spacing w:after="0" w:line="360" w:lineRule="auto"/>
        <w:jc w:val="both"/>
        <w:rPr>
          <w:rFonts w:ascii="Verdana" w:eastAsiaTheme="minorEastAsia" w:hAnsi="Verdana"/>
          <w:sz w:val="18"/>
          <w:szCs w:val="18"/>
          <w:lang w:eastAsia="it-IT"/>
        </w:rPr>
      </w:pPr>
      <w:proofErr w:type="spellStart"/>
      <w:r w:rsidRPr="00DD768B">
        <w:rPr>
          <w:rFonts w:ascii="Verdana" w:eastAsiaTheme="minorEastAsia" w:hAnsi="Verdana"/>
          <w:sz w:val="18"/>
          <w:szCs w:val="18"/>
          <w:lang w:eastAsia="it-IT"/>
        </w:rPr>
        <w:t>Tab</w:t>
      </w:r>
      <w:proofErr w:type="spellEnd"/>
      <w:r w:rsidRPr="00DD768B">
        <w:rPr>
          <w:rFonts w:ascii="Verdana" w:eastAsiaTheme="minorEastAsia" w:hAnsi="Verdana"/>
          <w:sz w:val="18"/>
          <w:szCs w:val="18"/>
          <w:lang w:eastAsia="it-IT"/>
        </w:rPr>
        <w:t>. 11 – Quadro riepilogativo delle produzioni dello stabilimento FIAT POWER TRAIN di Foggia per gli anni 2014, 2015 e 2016 (previsioni) – valori assoluti</w:t>
      </w:r>
    </w:p>
    <w:tbl>
      <w:tblPr>
        <w:tblStyle w:val="Sfondochiaro"/>
        <w:tblW w:w="8527" w:type="dxa"/>
        <w:tblInd w:w="108" w:type="dxa"/>
        <w:tblLayout w:type="fixed"/>
        <w:tblLook w:val="04A0" w:firstRow="1" w:lastRow="0" w:firstColumn="1" w:lastColumn="0" w:noHBand="0" w:noVBand="1"/>
      </w:tblPr>
      <w:tblGrid>
        <w:gridCol w:w="3402"/>
        <w:gridCol w:w="1559"/>
        <w:gridCol w:w="1417"/>
        <w:gridCol w:w="1116"/>
        <w:gridCol w:w="1033"/>
      </w:tblGrid>
      <w:tr w:rsidR="00DD768B" w:rsidRPr="00DD768B" w:rsidTr="00121685">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3402" w:type="dxa"/>
            <w:tcBorders>
              <w:right w:val="single" w:sz="4" w:space="0" w:color="auto"/>
            </w:tcBorders>
            <w:vAlign w:val="center"/>
          </w:tcPr>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Tipo prodotto</w:t>
            </w:r>
          </w:p>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(modelli auto; componentistica, modelli camion, motori, ecc.)</w:t>
            </w:r>
          </w:p>
        </w:tc>
        <w:tc>
          <w:tcPr>
            <w:tcW w:w="1559" w:type="dxa"/>
            <w:tcBorders>
              <w:left w:val="single" w:sz="4" w:space="0" w:color="auto"/>
            </w:tcBorders>
            <w:vAlign w:val="center"/>
          </w:tcPr>
          <w:p w:rsidR="00DD768B" w:rsidRPr="00DD768B" w:rsidRDefault="00DD768B" w:rsidP="00DD768B">
            <w:pPr>
              <w:pBdr>
                <w:top w:val="nil"/>
                <w:left w:val="nil"/>
                <w:bottom w:val="nil"/>
                <w:right w:val="nil"/>
                <w:between w:val="nil"/>
                <w:bar w:val="nil"/>
              </w:pBdr>
              <w:jc w:val="center"/>
              <w:cnfStyle w:val="100000000000" w:firstRow="1"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2016</w:t>
            </w:r>
          </w:p>
          <w:p w:rsidR="00DD768B" w:rsidRPr="00DD768B" w:rsidRDefault="00DD768B" w:rsidP="00DD768B">
            <w:pPr>
              <w:pBdr>
                <w:top w:val="nil"/>
                <w:left w:val="nil"/>
                <w:bottom w:val="nil"/>
                <w:right w:val="nil"/>
                <w:between w:val="nil"/>
                <w:bar w:val="nil"/>
              </w:pBdr>
              <w:jc w:val="center"/>
              <w:cnfStyle w:val="100000000000" w:firstRow="1"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Programmato</w:t>
            </w:r>
          </w:p>
        </w:tc>
        <w:tc>
          <w:tcPr>
            <w:tcW w:w="1417" w:type="dxa"/>
            <w:vAlign w:val="center"/>
          </w:tcPr>
          <w:p w:rsidR="00DD768B" w:rsidRPr="00DD768B" w:rsidRDefault="00DD768B" w:rsidP="00DD768B">
            <w:pPr>
              <w:pBdr>
                <w:top w:val="nil"/>
                <w:left w:val="nil"/>
                <w:bottom w:val="nil"/>
                <w:right w:val="nil"/>
                <w:between w:val="nil"/>
                <w:bar w:val="nil"/>
              </w:pBdr>
              <w:jc w:val="center"/>
              <w:cnfStyle w:val="100000000000" w:firstRow="1"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2016</w:t>
            </w:r>
          </w:p>
          <w:p w:rsidR="00DD768B" w:rsidRPr="00DD768B" w:rsidRDefault="00DD768B" w:rsidP="00DD768B">
            <w:pPr>
              <w:pBdr>
                <w:top w:val="nil"/>
                <w:left w:val="nil"/>
                <w:bottom w:val="nil"/>
                <w:right w:val="nil"/>
                <w:between w:val="nil"/>
                <w:bar w:val="nil"/>
              </w:pBdr>
              <w:jc w:val="center"/>
              <w:cnfStyle w:val="100000000000" w:firstRow="1"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al 29/02/2016</w:t>
            </w:r>
          </w:p>
        </w:tc>
        <w:tc>
          <w:tcPr>
            <w:tcW w:w="1116" w:type="dxa"/>
            <w:vAlign w:val="center"/>
          </w:tcPr>
          <w:p w:rsidR="00DD768B" w:rsidRPr="00DD768B" w:rsidRDefault="00DD768B" w:rsidP="00DD768B">
            <w:pPr>
              <w:pBdr>
                <w:top w:val="nil"/>
                <w:left w:val="nil"/>
                <w:bottom w:val="nil"/>
                <w:right w:val="nil"/>
                <w:between w:val="nil"/>
                <w:bar w:val="nil"/>
              </w:pBdr>
              <w:jc w:val="center"/>
              <w:cnfStyle w:val="100000000000" w:firstRow="1"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2015</w:t>
            </w:r>
          </w:p>
        </w:tc>
        <w:tc>
          <w:tcPr>
            <w:tcW w:w="1033" w:type="dxa"/>
            <w:vAlign w:val="center"/>
          </w:tcPr>
          <w:p w:rsidR="00DD768B" w:rsidRPr="00DD768B" w:rsidRDefault="00DD768B" w:rsidP="00DD768B">
            <w:pPr>
              <w:pBdr>
                <w:top w:val="nil"/>
                <w:left w:val="nil"/>
                <w:bottom w:val="nil"/>
                <w:right w:val="nil"/>
                <w:between w:val="nil"/>
                <w:bar w:val="nil"/>
              </w:pBdr>
              <w:jc w:val="center"/>
              <w:cnfStyle w:val="100000000000" w:firstRow="1"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2014</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402" w:type="dxa"/>
            <w:tcBorders>
              <w:right w:val="single" w:sz="4" w:space="0" w:color="auto"/>
            </w:tcBorders>
            <w:vAlign w:val="center"/>
          </w:tcPr>
          <w:p w:rsidR="00DD768B" w:rsidRPr="00DD768B" w:rsidRDefault="00DD768B" w:rsidP="00DD768B">
            <w:pPr>
              <w:jc w:val="center"/>
              <w:rPr>
                <w:rFonts w:ascii="Verdana" w:hAnsi="Verdana"/>
                <w:sz w:val="18"/>
                <w:szCs w:val="18"/>
              </w:rPr>
            </w:pPr>
            <w:r w:rsidRPr="00DD768B">
              <w:rPr>
                <w:rFonts w:ascii="Verdana" w:eastAsia="Cambria" w:hAnsi="Verdana" w:cs="Cambria"/>
                <w:color w:val="000000"/>
                <w:sz w:val="18"/>
                <w:szCs w:val="18"/>
                <w:u w:color="000000"/>
              </w:rPr>
              <w:t>TOTALE MOTORI</w:t>
            </w:r>
          </w:p>
        </w:tc>
        <w:tc>
          <w:tcPr>
            <w:tcW w:w="1559" w:type="dxa"/>
            <w:tcBorders>
              <w:left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315.000</w:t>
            </w:r>
          </w:p>
        </w:tc>
        <w:tc>
          <w:tcPr>
            <w:tcW w:w="1417"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49.330</w:t>
            </w:r>
          </w:p>
        </w:tc>
        <w:tc>
          <w:tcPr>
            <w:tcW w:w="1116"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289.000</w:t>
            </w:r>
          </w:p>
        </w:tc>
        <w:tc>
          <w:tcPr>
            <w:tcW w:w="1033"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251.000</w:t>
            </w:r>
          </w:p>
        </w:tc>
      </w:tr>
      <w:tr w:rsidR="00DD768B" w:rsidRPr="00DD768B" w:rsidTr="00121685">
        <w:trPr>
          <w:trHeight w:val="721"/>
        </w:trPr>
        <w:tc>
          <w:tcPr>
            <w:cnfStyle w:val="001000000000" w:firstRow="0" w:lastRow="0" w:firstColumn="1" w:lastColumn="0" w:oddVBand="0" w:evenVBand="0" w:oddHBand="0" w:evenHBand="0" w:firstRowFirstColumn="0" w:firstRowLastColumn="0" w:lastRowFirstColumn="0" w:lastRowLastColumn="0"/>
            <w:tcW w:w="3402" w:type="dxa"/>
            <w:tcBorders>
              <w:right w:val="single" w:sz="4" w:space="0" w:color="auto"/>
            </w:tcBorders>
            <w:vAlign w:val="center"/>
          </w:tcPr>
          <w:p w:rsidR="00DD768B" w:rsidRPr="00DD768B" w:rsidRDefault="00DD768B" w:rsidP="00DD768B">
            <w:pPr>
              <w:pBdr>
                <w:top w:val="nil"/>
                <w:left w:val="nil"/>
                <w:bottom w:val="nil"/>
                <w:right w:val="nil"/>
                <w:between w:val="nil"/>
                <w:bar w:val="nil"/>
              </w:pBd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MOTORE F1A IVECO DAILY - 2300 CC.PER STABILIMENTO DI SUZZARA</w:t>
            </w:r>
          </w:p>
        </w:tc>
        <w:tc>
          <w:tcPr>
            <w:tcW w:w="1559" w:type="dxa"/>
            <w:tcBorders>
              <w:left w:val="single" w:sz="4" w:space="0" w:color="auto"/>
            </w:tcBorders>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417"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6.800</w:t>
            </w:r>
          </w:p>
        </w:tc>
        <w:tc>
          <w:tcPr>
            <w:tcW w:w="1116"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37.000</w:t>
            </w:r>
          </w:p>
        </w:tc>
        <w:tc>
          <w:tcPr>
            <w:tcW w:w="1033"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29.000</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402" w:type="dxa"/>
            <w:tcBorders>
              <w:right w:val="single" w:sz="4" w:space="0" w:color="auto"/>
            </w:tcBorders>
            <w:vAlign w:val="center"/>
          </w:tcPr>
          <w:p w:rsidR="00DD768B" w:rsidRPr="00DD768B" w:rsidRDefault="00DD768B" w:rsidP="00DD768B">
            <w:pPr>
              <w:pBdr>
                <w:top w:val="nil"/>
                <w:left w:val="nil"/>
                <w:bottom w:val="nil"/>
                <w:right w:val="nil"/>
                <w:between w:val="nil"/>
                <w:bar w:val="nil"/>
              </w:pBd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MOTORE F1A DUCATO - 2300 CC.</w:t>
            </w:r>
          </w:p>
          <w:p w:rsidR="00DD768B" w:rsidRPr="00DD768B" w:rsidRDefault="00DD768B" w:rsidP="00DD768B">
            <w:pPr>
              <w:pBdr>
                <w:top w:val="nil"/>
                <w:left w:val="nil"/>
                <w:bottom w:val="nil"/>
                <w:right w:val="nil"/>
                <w:between w:val="nil"/>
                <w:bar w:val="nil"/>
              </w:pBd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PER STABILIMENTO DI SEVEL</w:t>
            </w:r>
          </w:p>
        </w:tc>
        <w:tc>
          <w:tcPr>
            <w:tcW w:w="1559" w:type="dxa"/>
            <w:tcBorders>
              <w:left w:val="single" w:sz="4" w:space="0" w:color="auto"/>
            </w:tcBorders>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417"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22.800</w:t>
            </w:r>
          </w:p>
        </w:tc>
        <w:tc>
          <w:tcPr>
            <w:tcW w:w="1116"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131.000</w:t>
            </w:r>
          </w:p>
        </w:tc>
        <w:tc>
          <w:tcPr>
            <w:tcW w:w="1033"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112.000</w:t>
            </w:r>
          </w:p>
        </w:tc>
      </w:tr>
      <w:tr w:rsidR="00DD768B" w:rsidRPr="00DD768B" w:rsidTr="00121685">
        <w:trPr>
          <w:trHeight w:val="721"/>
        </w:trPr>
        <w:tc>
          <w:tcPr>
            <w:cnfStyle w:val="001000000000" w:firstRow="0" w:lastRow="0" w:firstColumn="1" w:lastColumn="0" w:oddVBand="0" w:evenVBand="0" w:oddHBand="0" w:evenHBand="0" w:firstRowFirstColumn="0" w:firstRowLastColumn="0" w:lastRowFirstColumn="0" w:lastRowLastColumn="0"/>
            <w:tcW w:w="3402" w:type="dxa"/>
            <w:tcBorders>
              <w:bottom w:val="nil"/>
              <w:right w:val="single" w:sz="4" w:space="0" w:color="auto"/>
            </w:tcBorders>
            <w:vAlign w:val="center"/>
          </w:tcPr>
          <w:p w:rsidR="00DD768B" w:rsidRPr="00DD768B" w:rsidRDefault="00DD768B" w:rsidP="00DD768B">
            <w:pPr>
              <w:pBdr>
                <w:top w:val="nil"/>
                <w:left w:val="nil"/>
                <w:bottom w:val="nil"/>
                <w:right w:val="nil"/>
                <w:between w:val="nil"/>
                <w:bar w:val="nil"/>
              </w:pBdr>
              <w:rPr>
                <w:rFonts w:ascii="Verdana" w:eastAsia="Cambria" w:hAnsi="Verdana" w:cs="Cambria"/>
                <w:color w:val="000000"/>
                <w:sz w:val="18"/>
                <w:szCs w:val="18"/>
                <w:u w:color="000000"/>
                <w:bdr w:val="nil"/>
                <w:lang w:val="en-US"/>
              </w:rPr>
            </w:pPr>
            <w:r w:rsidRPr="00DD768B">
              <w:rPr>
                <w:rFonts w:ascii="Verdana" w:eastAsia="Cambria" w:hAnsi="Verdana" w:cs="Cambria"/>
                <w:color w:val="000000"/>
                <w:sz w:val="18"/>
                <w:szCs w:val="18"/>
                <w:u w:color="000000"/>
                <w:bdr w:val="nil"/>
                <w:lang w:val="en-US"/>
              </w:rPr>
              <w:t>MOTORE F1C IVECO DAILY - 3000 CC.</w:t>
            </w:r>
          </w:p>
          <w:p w:rsidR="00DD768B" w:rsidRPr="00DD768B" w:rsidRDefault="00DD768B" w:rsidP="00DD768B">
            <w:pPr>
              <w:pBdr>
                <w:top w:val="nil"/>
                <w:left w:val="nil"/>
                <w:bottom w:val="nil"/>
                <w:right w:val="nil"/>
                <w:between w:val="nil"/>
                <w:bar w:val="nil"/>
              </w:pBd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PER STABILIMENTO DI SUZZARA</w:t>
            </w:r>
          </w:p>
        </w:tc>
        <w:tc>
          <w:tcPr>
            <w:tcW w:w="1559" w:type="dxa"/>
            <w:tcBorders>
              <w:left w:val="single" w:sz="4" w:space="0" w:color="auto"/>
            </w:tcBorders>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417"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8.000</w:t>
            </w:r>
          </w:p>
        </w:tc>
        <w:tc>
          <w:tcPr>
            <w:tcW w:w="1116"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43.000</w:t>
            </w:r>
          </w:p>
        </w:tc>
        <w:tc>
          <w:tcPr>
            <w:tcW w:w="1033"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38.000</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single" w:sz="4" w:space="0" w:color="auto"/>
            </w:tcBorders>
            <w:vAlign w:val="center"/>
          </w:tcPr>
          <w:p w:rsidR="00DD768B" w:rsidRPr="00DD768B" w:rsidRDefault="00DD768B" w:rsidP="00DD768B">
            <w:pPr>
              <w:pBdr>
                <w:top w:val="nil"/>
                <w:left w:val="nil"/>
                <w:bottom w:val="nil"/>
                <w:right w:val="nil"/>
                <w:between w:val="nil"/>
                <w:bar w:val="nil"/>
              </w:pBd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MOTORE F1C DUCATO-PSA - 3000 CC.</w:t>
            </w:r>
          </w:p>
          <w:p w:rsidR="00DD768B" w:rsidRPr="00DD768B" w:rsidRDefault="00DD768B" w:rsidP="00DD768B">
            <w:pPr>
              <w:pBdr>
                <w:top w:val="nil"/>
                <w:left w:val="nil"/>
                <w:bottom w:val="nil"/>
                <w:right w:val="nil"/>
                <w:between w:val="nil"/>
                <w:bar w:val="nil"/>
              </w:pBd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PER STABILIMENTO DI SEVEL</w:t>
            </w:r>
          </w:p>
        </w:tc>
        <w:tc>
          <w:tcPr>
            <w:tcW w:w="1559" w:type="dxa"/>
            <w:tcBorders>
              <w:left w:val="single" w:sz="4" w:space="0" w:color="auto"/>
              <w:bottom w:val="nil"/>
            </w:tcBorders>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417" w:type="dxa"/>
            <w:tcBorders>
              <w:bottom w:val="nil"/>
            </w:tcBorders>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4.200</w:t>
            </w:r>
          </w:p>
        </w:tc>
        <w:tc>
          <w:tcPr>
            <w:tcW w:w="1116" w:type="dxa"/>
            <w:tcBorders>
              <w:bottom w:val="nil"/>
            </w:tcBorders>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25.000</w:t>
            </w:r>
          </w:p>
        </w:tc>
        <w:tc>
          <w:tcPr>
            <w:tcW w:w="1033" w:type="dxa"/>
            <w:tcBorders>
              <w:bottom w:val="nil"/>
            </w:tcBorders>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25.000</w:t>
            </w:r>
          </w:p>
        </w:tc>
      </w:tr>
      <w:tr w:rsidR="00DD768B" w:rsidRPr="00DD768B" w:rsidTr="00121685">
        <w:trPr>
          <w:trHeight w:val="491"/>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right w:val="single" w:sz="4" w:space="0" w:color="auto"/>
            </w:tcBorders>
            <w:vAlign w:val="center"/>
          </w:tcPr>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MOTORE F1C FUSO MITSUBISHI</w:t>
            </w:r>
          </w:p>
        </w:tc>
        <w:tc>
          <w:tcPr>
            <w:tcW w:w="1559" w:type="dxa"/>
            <w:tcBorders>
              <w:top w:val="nil"/>
              <w:left w:val="single" w:sz="4" w:space="0" w:color="auto"/>
              <w:bottom w:val="nil"/>
              <w:right w:val="nil"/>
            </w:tcBorders>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55.000</w:t>
            </w:r>
          </w:p>
        </w:tc>
        <w:tc>
          <w:tcPr>
            <w:tcW w:w="1417" w:type="dxa"/>
            <w:tcBorders>
              <w:top w:val="nil"/>
              <w:left w:val="nil"/>
              <w:bottom w:val="nil"/>
              <w:right w:val="nil"/>
            </w:tcBorders>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7.400</w:t>
            </w:r>
          </w:p>
        </w:tc>
        <w:tc>
          <w:tcPr>
            <w:tcW w:w="1116" w:type="dxa"/>
            <w:tcBorders>
              <w:top w:val="nil"/>
              <w:left w:val="nil"/>
              <w:bottom w:val="nil"/>
              <w:right w:val="nil"/>
            </w:tcBorders>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520.00</w:t>
            </w:r>
          </w:p>
        </w:tc>
        <w:tc>
          <w:tcPr>
            <w:tcW w:w="1033" w:type="dxa"/>
            <w:tcBorders>
              <w:top w:val="nil"/>
              <w:left w:val="nil"/>
              <w:bottom w:val="nil"/>
            </w:tcBorders>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46.000</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4" w:space="0" w:color="auto"/>
              <w:right w:val="single" w:sz="4" w:space="0" w:color="auto"/>
            </w:tcBorders>
            <w:vAlign w:val="center"/>
          </w:tcPr>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MOTORE F1C MULTICAR-AIFO</w:t>
            </w:r>
          </w:p>
        </w:tc>
        <w:tc>
          <w:tcPr>
            <w:tcW w:w="1559" w:type="dxa"/>
            <w:tcBorders>
              <w:top w:val="nil"/>
              <w:left w:val="single" w:sz="4" w:space="0" w:color="auto"/>
              <w:bottom w:val="single" w:sz="4" w:space="0" w:color="auto"/>
            </w:tcBorders>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417" w:type="dxa"/>
            <w:tcBorders>
              <w:top w:val="nil"/>
              <w:bottom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130</w:t>
            </w:r>
          </w:p>
        </w:tc>
        <w:tc>
          <w:tcPr>
            <w:tcW w:w="1116" w:type="dxa"/>
            <w:tcBorders>
              <w:top w:val="nil"/>
              <w:bottom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1000</w:t>
            </w:r>
          </w:p>
        </w:tc>
        <w:tc>
          <w:tcPr>
            <w:tcW w:w="1033" w:type="dxa"/>
            <w:tcBorders>
              <w:top w:val="nil"/>
              <w:bottom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1.000</w:t>
            </w:r>
          </w:p>
        </w:tc>
      </w:tr>
      <w:tr w:rsidR="00DD768B" w:rsidRPr="00DD768B" w:rsidTr="00121685">
        <w:trPr>
          <w:trHeight w:val="54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right w:val="single" w:sz="4" w:space="0" w:color="auto"/>
            </w:tcBorders>
            <w:vAlign w:val="center"/>
          </w:tcPr>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COMPONENTS:</w:t>
            </w:r>
          </w:p>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 xml:space="preserve">TOTALE ALBERI MOTORE </w:t>
            </w:r>
          </w:p>
        </w:tc>
        <w:tc>
          <w:tcPr>
            <w:tcW w:w="1559" w:type="dxa"/>
            <w:tcBorders>
              <w:top w:val="single" w:sz="4" w:space="0" w:color="auto"/>
              <w:left w:val="single" w:sz="4" w:space="0" w:color="auto"/>
              <w:bottom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bCs/>
                <w:color w:val="000000"/>
                <w:sz w:val="18"/>
                <w:szCs w:val="18"/>
                <w:u w:color="000000"/>
                <w:bdr w:val="nil"/>
              </w:rPr>
              <w:t>380.000</w:t>
            </w:r>
          </w:p>
        </w:tc>
        <w:tc>
          <w:tcPr>
            <w:tcW w:w="1417" w:type="dxa"/>
            <w:tcBorders>
              <w:top w:val="single" w:sz="4" w:space="0" w:color="auto"/>
              <w:bottom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bCs/>
                <w:color w:val="000000"/>
                <w:sz w:val="18"/>
                <w:szCs w:val="18"/>
                <w:u w:color="000000"/>
                <w:bdr w:val="nil"/>
              </w:rPr>
              <w:t>59.400</w:t>
            </w:r>
          </w:p>
        </w:tc>
        <w:tc>
          <w:tcPr>
            <w:tcW w:w="1116" w:type="dxa"/>
            <w:tcBorders>
              <w:top w:val="single" w:sz="4" w:space="0" w:color="auto"/>
              <w:bottom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bCs/>
                <w:color w:val="000000"/>
                <w:sz w:val="18"/>
                <w:szCs w:val="18"/>
                <w:u w:color="000000"/>
                <w:bdr w:val="nil"/>
              </w:rPr>
              <w:t>364.000</w:t>
            </w:r>
          </w:p>
        </w:tc>
        <w:tc>
          <w:tcPr>
            <w:tcW w:w="1033" w:type="dxa"/>
            <w:tcBorders>
              <w:top w:val="single" w:sz="4" w:space="0" w:color="auto"/>
              <w:bottom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bCs/>
                <w:color w:val="000000"/>
                <w:sz w:val="18"/>
                <w:szCs w:val="18"/>
                <w:u w:color="000000"/>
                <w:bdr w:val="nil"/>
              </w:rPr>
              <w:t>401.000</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right w:val="single" w:sz="4" w:space="0" w:color="auto"/>
            </w:tcBorders>
            <w:vAlign w:val="center"/>
          </w:tcPr>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COMPONENTS:</w:t>
            </w:r>
          </w:p>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 xml:space="preserve">ALBERO MOTORE TIPO T4 </w:t>
            </w:r>
          </w:p>
        </w:tc>
        <w:tc>
          <w:tcPr>
            <w:tcW w:w="1559" w:type="dxa"/>
            <w:tcBorders>
              <w:top w:val="single" w:sz="4" w:space="0" w:color="auto"/>
              <w:left w:val="single" w:sz="4" w:space="0" w:color="auto"/>
            </w:tcBorders>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417" w:type="dxa"/>
            <w:tcBorders>
              <w:top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4.900</w:t>
            </w:r>
          </w:p>
        </w:tc>
        <w:tc>
          <w:tcPr>
            <w:tcW w:w="1116" w:type="dxa"/>
            <w:tcBorders>
              <w:top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26.000</w:t>
            </w:r>
          </w:p>
        </w:tc>
        <w:tc>
          <w:tcPr>
            <w:tcW w:w="1033" w:type="dxa"/>
            <w:tcBorders>
              <w:top w:val="single" w:sz="4" w:space="0" w:color="auto"/>
            </w:tcBorders>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69.000</w:t>
            </w:r>
          </w:p>
        </w:tc>
      </w:tr>
      <w:tr w:rsidR="00DD768B" w:rsidRPr="00DD768B" w:rsidTr="00121685">
        <w:trPr>
          <w:trHeight w:val="491"/>
        </w:trPr>
        <w:tc>
          <w:tcPr>
            <w:cnfStyle w:val="001000000000" w:firstRow="0" w:lastRow="0" w:firstColumn="1" w:lastColumn="0" w:oddVBand="0" w:evenVBand="0" w:oddHBand="0" w:evenHBand="0" w:firstRowFirstColumn="0" w:firstRowLastColumn="0" w:lastRowFirstColumn="0" w:lastRowLastColumn="0"/>
            <w:tcW w:w="3402" w:type="dxa"/>
            <w:tcBorders>
              <w:right w:val="single" w:sz="4" w:space="0" w:color="auto"/>
            </w:tcBorders>
            <w:vAlign w:val="center"/>
          </w:tcPr>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COMPONENTS:</w:t>
            </w:r>
          </w:p>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ALBERO MOTORE TIPO F5</w:t>
            </w:r>
          </w:p>
        </w:tc>
        <w:tc>
          <w:tcPr>
            <w:tcW w:w="1559" w:type="dxa"/>
            <w:tcBorders>
              <w:left w:val="single" w:sz="4" w:space="0" w:color="auto"/>
            </w:tcBorders>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417"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200</w:t>
            </w:r>
          </w:p>
        </w:tc>
        <w:tc>
          <w:tcPr>
            <w:tcW w:w="1116"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5.000</w:t>
            </w:r>
          </w:p>
        </w:tc>
        <w:tc>
          <w:tcPr>
            <w:tcW w:w="1033"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16.000</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402" w:type="dxa"/>
            <w:tcBorders>
              <w:right w:val="single" w:sz="4" w:space="0" w:color="auto"/>
            </w:tcBorders>
            <w:vAlign w:val="center"/>
          </w:tcPr>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COMPONENTS:</w:t>
            </w:r>
          </w:p>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ALBERO MOTORE TIPO F5C</w:t>
            </w:r>
          </w:p>
        </w:tc>
        <w:tc>
          <w:tcPr>
            <w:tcW w:w="1559" w:type="dxa"/>
            <w:tcBorders>
              <w:left w:val="single" w:sz="4" w:space="0" w:color="auto"/>
            </w:tcBorders>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417"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500</w:t>
            </w:r>
          </w:p>
        </w:tc>
        <w:tc>
          <w:tcPr>
            <w:tcW w:w="1116"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4.000</w:t>
            </w:r>
          </w:p>
        </w:tc>
        <w:tc>
          <w:tcPr>
            <w:tcW w:w="1033"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4.000</w:t>
            </w:r>
          </w:p>
        </w:tc>
      </w:tr>
      <w:tr w:rsidR="00DD768B" w:rsidRPr="00DD768B" w:rsidTr="00121685">
        <w:trPr>
          <w:trHeight w:val="491"/>
        </w:trPr>
        <w:tc>
          <w:tcPr>
            <w:cnfStyle w:val="001000000000" w:firstRow="0" w:lastRow="0" w:firstColumn="1" w:lastColumn="0" w:oddVBand="0" w:evenVBand="0" w:oddHBand="0" w:evenHBand="0" w:firstRowFirstColumn="0" w:firstRowLastColumn="0" w:lastRowFirstColumn="0" w:lastRowLastColumn="0"/>
            <w:tcW w:w="3402" w:type="dxa"/>
            <w:tcBorders>
              <w:right w:val="single" w:sz="4" w:space="0" w:color="auto"/>
            </w:tcBorders>
            <w:vAlign w:val="center"/>
          </w:tcPr>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COMPONENTS:</w:t>
            </w:r>
          </w:p>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ALBERO MOTORE TIPO F1C</w:t>
            </w:r>
          </w:p>
        </w:tc>
        <w:tc>
          <w:tcPr>
            <w:tcW w:w="1559" w:type="dxa"/>
            <w:tcBorders>
              <w:left w:val="single" w:sz="4" w:space="0" w:color="auto"/>
            </w:tcBorders>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417"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21.600</w:t>
            </w:r>
          </w:p>
        </w:tc>
        <w:tc>
          <w:tcPr>
            <w:tcW w:w="1116"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131.000</w:t>
            </w:r>
          </w:p>
        </w:tc>
        <w:tc>
          <w:tcPr>
            <w:tcW w:w="1033"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125.000</w:t>
            </w:r>
          </w:p>
        </w:tc>
      </w:tr>
      <w:tr w:rsidR="00DD768B" w:rsidRPr="00DD768B" w:rsidTr="0012168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402" w:type="dxa"/>
            <w:tcBorders>
              <w:right w:val="single" w:sz="4" w:space="0" w:color="auto"/>
            </w:tcBorders>
            <w:vAlign w:val="center"/>
          </w:tcPr>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COMPONENTS:</w:t>
            </w:r>
          </w:p>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ALBERO MOTORE TIPO F1A</w:t>
            </w:r>
          </w:p>
        </w:tc>
        <w:tc>
          <w:tcPr>
            <w:tcW w:w="1559" w:type="dxa"/>
            <w:tcBorders>
              <w:left w:val="single" w:sz="4" w:space="0" w:color="auto"/>
            </w:tcBorders>
            <w:vAlign w:val="center"/>
          </w:tcPr>
          <w:p w:rsidR="00DD768B" w:rsidRPr="00DD768B" w:rsidRDefault="00DD768B" w:rsidP="00DD768B">
            <w:pPr>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417"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31.000</w:t>
            </w:r>
          </w:p>
        </w:tc>
        <w:tc>
          <w:tcPr>
            <w:tcW w:w="1116"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181.000</w:t>
            </w:r>
          </w:p>
        </w:tc>
        <w:tc>
          <w:tcPr>
            <w:tcW w:w="1033" w:type="dxa"/>
            <w:vAlign w:val="center"/>
          </w:tcPr>
          <w:p w:rsidR="00DD768B" w:rsidRPr="00DD768B" w:rsidRDefault="00DD768B" w:rsidP="00DD768B">
            <w:pPr>
              <w:pBdr>
                <w:top w:val="nil"/>
                <w:left w:val="nil"/>
                <w:bottom w:val="nil"/>
                <w:right w:val="nil"/>
                <w:between w:val="nil"/>
                <w:bar w:val="nil"/>
              </w:pBdr>
              <w:jc w:val="right"/>
              <w:cnfStyle w:val="000000100000" w:firstRow="0" w:lastRow="0" w:firstColumn="0" w:lastColumn="0" w:oddVBand="0" w:evenVBand="0" w:oddHBand="1"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157.000</w:t>
            </w:r>
          </w:p>
        </w:tc>
      </w:tr>
      <w:tr w:rsidR="00DD768B" w:rsidRPr="00DD768B" w:rsidTr="00121685">
        <w:trPr>
          <w:trHeight w:val="491"/>
        </w:trPr>
        <w:tc>
          <w:tcPr>
            <w:cnfStyle w:val="001000000000" w:firstRow="0" w:lastRow="0" w:firstColumn="1" w:lastColumn="0" w:oddVBand="0" w:evenVBand="0" w:oddHBand="0" w:evenHBand="0" w:firstRowFirstColumn="0" w:firstRowLastColumn="0" w:lastRowFirstColumn="0" w:lastRowLastColumn="0"/>
            <w:tcW w:w="3402" w:type="dxa"/>
            <w:tcBorders>
              <w:bottom w:val="single" w:sz="8" w:space="0" w:color="000000" w:themeColor="text1"/>
              <w:right w:val="single" w:sz="4" w:space="0" w:color="auto"/>
            </w:tcBorders>
            <w:vAlign w:val="center"/>
          </w:tcPr>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COMPONENTS:</w:t>
            </w:r>
          </w:p>
          <w:p w:rsidR="00DD768B" w:rsidRPr="00DD768B" w:rsidRDefault="00DD768B" w:rsidP="00DD768B">
            <w:pPr>
              <w:pBdr>
                <w:top w:val="nil"/>
                <w:left w:val="nil"/>
                <w:bottom w:val="nil"/>
                <w:right w:val="nil"/>
                <w:between w:val="nil"/>
                <w:bar w:val="nil"/>
              </w:pBdr>
              <w:jc w:val="center"/>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ALBERO MOTORE TIPO NEF</w:t>
            </w:r>
          </w:p>
        </w:tc>
        <w:tc>
          <w:tcPr>
            <w:tcW w:w="1559" w:type="dxa"/>
            <w:tcBorders>
              <w:left w:val="single" w:sz="4" w:space="0" w:color="auto"/>
            </w:tcBorders>
            <w:vAlign w:val="center"/>
          </w:tcPr>
          <w:p w:rsidR="00DD768B" w:rsidRPr="00DD768B" w:rsidRDefault="00DD768B" w:rsidP="00DD768B">
            <w:pPr>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417"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1.200</w:t>
            </w:r>
          </w:p>
        </w:tc>
        <w:tc>
          <w:tcPr>
            <w:tcW w:w="1116"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13.000</w:t>
            </w:r>
          </w:p>
        </w:tc>
        <w:tc>
          <w:tcPr>
            <w:tcW w:w="1033" w:type="dxa"/>
            <w:vAlign w:val="center"/>
          </w:tcPr>
          <w:p w:rsidR="00DD768B" w:rsidRPr="00DD768B" w:rsidRDefault="00DD768B" w:rsidP="00DD768B">
            <w:pPr>
              <w:pBdr>
                <w:top w:val="nil"/>
                <w:left w:val="nil"/>
                <w:bottom w:val="nil"/>
                <w:right w:val="nil"/>
                <w:between w:val="nil"/>
                <w:bar w:val="nil"/>
              </w:pBdr>
              <w:jc w:val="right"/>
              <w:cnfStyle w:val="000000000000" w:firstRow="0" w:lastRow="0" w:firstColumn="0" w:lastColumn="0" w:oddVBand="0" w:evenVBand="0" w:oddHBand="0" w:evenHBand="0" w:firstRowFirstColumn="0" w:firstRowLastColumn="0" w:lastRowFirstColumn="0" w:lastRowLastColumn="0"/>
              <w:rPr>
                <w:rFonts w:ascii="Verdana" w:eastAsia="Cambria" w:hAnsi="Verdana" w:cs="Cambria"/>
                <w:color w:val="000000"/>
                <w:sz w:val="18"/>
                <w:szCs w:val="18"/>
                <w:u w:color="000000"/>
                <w:bdr w:val="nil"/>
              </w:rPr>
            </w:pPr>
            <w:r w:rsidRPr="00DD768B">
              <w:rPr>
                <w:rFonts w:ascii="Verdana" w:eastAsia="Cambria" w:hAnsi="Verdana" w:cs="Cambria"/>
                <w:color w:val="000000"/>
                <w:sz w:val="18"/>
                <w:szCs w:val="18"/>
                <w:u w:color="000000"/>
                <w:bdr w:val="nil"/>
              </w:rPr>
              <w:t>30.000</w:t>
            </w:r>
          </w:p>
        </w:tc>
      </w:tr>
    </w:tbl>
    <w:p w:rsidR="00DD768B" w:rsidRPr="00DD768B" w:rsidRDefault="00DD768B" w:rsidP="00DD768B">
      <w:pPr>
        <w:spacing w:after="0" w:line="360" w:lineRule="auto"/>
        <w:jc w:val="both"/>
        <w:rPr>
          <w:rFonts w:ascii="Verdana" w:eastAsiaTheme="minorEastAsia" w:hAnsi="Verdana"/>
          <w:sz w:val="18"/>
          <w:szCs w:val="18"/>
          <w:lang w:eastAsia="it-IT"/>
        </w:rPr>
      </w:pPr>
      <w:r w:rsidRPr="00DD768B">
        <w:rPr>
          <w:rFonts w:ascii="Verdana" w:eastAsiaTheme="minorEastAsia" w:hAnsi="Verdana"/>
          <w:i/>
          <w:sz w:val="18"/>
          <w:szCs w:val="18"/>
          <w:lang w:eastAsia="it-IT"/>
        </w:rPr>
        <w:t>Fonte</w:t>
      </w:r>
      <w:r w:rsidRPr="00DD768B">
        <w:rPr>
          <w:rFonts w:ascii="Verdana" w:eastAsiaTheme="minorEastAsia" w:hAnsi="Verdana"/>
          <w:sz w:val="18"/>
          <w:szCs w:val="18"/>
          <w:lang w:eastAsia="it-IT"/>
        </w:rPr>
        <w:t>: ns. indagine diretta.</w:t>
      </w:r>
    </w:p>
    <w:p w:rsidR="00DD768B" w:rsidRPr="00DD768B" w:rsidRDefault="00DD768B" w:rsidP="00DD768B">
      <w:pPr>
        <w:spacing w:after="0" w:line="240" w:lineRule="auto"/>
        <w:ind w:firstLine="284"/>
        <w:rPr>
          <w:rFonts w:ascii="Verdana" w:eastAsiaTheme="minorEastAsia" w:hAnsi="Verdana"/>
          <w:lang w:eastAsia="it-IT"/>
        </w:rPr>
      </w:pPr>
    </w:p>
    <w:p w:rsidR="00DD768B" w:rsidRPr="00DD768B" w:rsidRDefault="00DD768B" w:rsidP="00DD768B">
      <w:pPr>
        <w:spacing w:after="0" w:line="360" w:lineRule="auto"/>
        <w:rPr>
          <w:rFonts w:ascii="Verdana" w:eastAsiaTheme="minorEastAsia" w:hAnsi="Verdana"/>
          <w:sz w:val="18"/>
          <w:szCs w:val="18"/>
          <w:lang w:eastAsia="it-IT"/>
        </w:rPr>
      </w:pPr>
      <w:proofErr w:type="spellStart"/>
      <w:r w:rsidRPr="00DD768B">
        <w:rPr>
          <w:rFonts w:ascii="Verdana" w:eastAsiaTheme="minorEastAsia" w:hAnsi="Verdana"/>
          <w:sz w:val="18"/>
          <w:szCs w:val="18"/>
          <w:lang w:eastAsia="it-IT"/>
        </w:rPr>
        <w:t>Tab</w:t>
      </w:r>
      <w:proofErr w:type="spellEnd"/>
      <w:r w:rsidRPr="00DD768B">
        <w:rPr>
          <w:rFonts w:ascii="Verdana" w:eastAsiaTheme="minorEastAsia" w:hAnsi="Verdana"/>
          <w:sz w:val="18"/>
          <w:szCs w:val="18"/>
          <w:lang w:eastAsia="it-IT"/>
        </w:rPr>
        <w:t>. 12 – Aziende terziste e/o di fornitura dello stabilimento FPT di Foggia – Marzo 2016</w:t>
      </w:r>
    </w:p>
    <w:tbl>
      <w:tblPr>
        <w:tblStyle w:val="Grigliatabella"/>
        <w:tblW w:w="8505" w:type="dxa"/>
        <w:tblInd w:w="108" w:type="dxa"/>
        <w:tblLook w:val="04A0" w:firstRow="1" w:lastRow="0" w:firstColumn="1" w:lastColumn="0" w:noHBand="0" w:noVBand="1"/>
      </w:tblPr>
      <w:tblGrid>
        <w:gridCol w:w="2312"/>
        <w:gridCol w:w="1941"/>
        <w:gridCol w:w="4252"/>
      </w:tblGrid>
      <w:tr w:rsidR="00DD768B" w:rsidRPr="00DD768B" w:rsidTr="00121685">
        <w:tc>
          <w:tcPr>
            <w:tcW w:w="2312" w:type="dxa"/>
          </w:tcPr>
          <w:p w:rsidR="00DD768B" w:rsidRPr="00DD768B" w:rsidRDefault="00DD768B" w:rsidP="00DD768B">
            <w:pPr>
              <w:jc w:val="center"/>
              <w:rPr>
                <w:rFonts w:ascii="Verdana" w:hAnsi="Verdana"/>
                <w:sz w:val="18"/>
                <w:szCs w:val="18"/>
              </w:rPr>
            </w:pPr>
            <w:r w:rsidRPr="00DD768B">
              <w:rPr>
                <w:rFonts w:ascii="Verdana" w:hAnsi="Verdana"/>
                <w:sz w:val="18"/>
                <w:szCs w:val="18"/>
              </w:rPr>
              <w:t>Azienda</w:t>
            </w:r>
          </w:p>
        </w:tc>
        <w:tc>
          <w:tcPr>
            <w:tcW w:w="1941" w:type="dxa"/>
          </w:tcPr>
          <w:p w:rsidR="00DD768B" w:rsidRPr="00DD768B" w:rsidRDefault="00DD768B" w:rsidP="00DD768B">
            <w:pPr>
              <w:jc w:val="center"/>
              <w:rPr>
                <w:rFonts w:ascii="Verdana" w:hAnsi="Verdana"/>
                <w:sz w:val="18"/>
                <w:szCs w:val="18"/>
              </w:rPr>
            </w:pPr>
            <w:r w:rsidRPr="00DD768B">
              <w:rPr>
                <w:rFonts w:ascii="Verdana" w:hAnsi="Verdana"/>
                <w:sz w:val="18"/>
                <w:szCs w:val="18"/>
              </w:rPr>
              <w:t>Sede legale</w:t>
            </w:r>
          </w:p>
        </w:tc>
        <w:tc>
          <w:tcPr>
            <w:tcW w:w="4252" w:type="dxa"/>
          </w:tcPr>
          <w:p w:rsidR="00DD768B" w:rsidRPr="00DD768B" w:rsidRDefault="00DD768B" w:rsidP="00DD768B">
            <w:pPr>
              <w:jc w:val="center"/>
              <w:rPr>
                <w:rFonts w:ascii="Verdana" w:hAnsi="Verdana"/>
                <w:sz w:val="18"/>
                <w:szCs w:val="18"/>
              </w:rPr>
            </w:pPr>
            <w:r w:rsidRPr="00DD768B">
              <w:rPr>
                <w:rFonts w:ascii="Verdana" w:hAnsi="Verdana"/>
                <w:sz w:val="18"/>
                <w:szCs w:val="18"/>
              </w:rPr>
              <w:t>Attività</w:t>
            </w:r>
          </w:p>
        </w:tc>
      </w:tr>
      <w:tr w:rsidR="00DD768B" w:rsidRPr="00DD768B" w:rsidTr="00121685">
        <w:tc>
          <w:tcPr>
            <w:tcW w:w="2312" w:type="dxa"/>
          </w:tcPr>
          <w:p w:rsidR="00DD768B" w:rsidRPr="00DD768B" w:rsidRDefault="00DD768B" w:rsidP="00DD768B">
            <w:pPr>
              <w:rPr>
                <w:rFonts w:ascii="Verdana" w:hAnsi="Verdana"/>
                <w:sz w:val="18"/>
                <w:szCs w:val="18"/>
              </w:rPr>
            </w:pPr>
            <w:r w:rsidRPr="00DD768B">
              <w:rPr>
                <w:rFonts w:ascii="Verdana" w:hAnsi="Verdana"/>
                <w:sz w:val="18"/>
                <w:szCs w:val="18"/>
              </w:rPr>
              <w:t>SODEXO Italia S.p.a.</w:t>
            </w:r>
          </w:p>
        </w:tc>
        <w:tc>
          <w:tcPr>
            <w:tcW w:w="1941" w:type="dxa"/>
          </w:tcPr>
          <w:p w:rsidR="00DD768B" w:rsidRPr="00DD768B" w:rsidRDefault="00DD768B" w:rsidP="00DD768B">
            <w:pPr>
              <w:rPr>
                <w:rFonts w:ascii="Verdana" w:hAnsi="Verdana"/>
                <w:sz w:val="18"/>
                <w:szCs w:val="18"/>
              </w:rPr>
            </w:pPr>
            <w:r w:rsidRPr="00DD768B">
              <w:rPr>
                <w:rFonts w:ascii="Verdana" w:hAnsi="Verdana"/>
                <w:sz w:val="18"/>
                <w:szCs w:val="18"/>
              </w:rPr>
              <w:t>Centrale (Milano)</w:t>
            </w:r>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ristorazione</w:t>
            </w:r>
          </w:p>
        </w:tc>
      </w:tr>
      <w:tr w:rsidR="00DD768B" w:rsidRPr="00DD768B" w:rsidTr="00121685">
        <w:tc>
          <w:tcPr>
            <w:tcW w:w="2312" w:type="dxa"/>
          </w:tcPr>
          <w:p w:rsidR="00DD768B" w:rsidRPr="00DD768B" w:rsidRDefault="00DD768B" w:rsidP="00DD768B">
            <w:pPr>
              <w:rPr>
                <w:rFonts w:ascii="Verdana" w:hAnsi="Verdana"/>
                <w:sz w:val="18"/>
                <w:szCs w:val="18"/>
              </w:rPr>
            </w:pPr>
            <w:r w:rsidRPr="00DD768B">
              <w:rPr>
                <w:rFonts w:ascii="Verdana" w:hAnsi="Verdana"/>
                <w:sz w:val="18"/>
                <w:szCs w:val="18"/>
              </w:rPr>
              <w:t>CELER Service S.n.c.</w:t>
            </w:r>
          </w:p>
        </w:tc>
        <w:tc>
          <w:tcPr>
            <w:tcW w:w="1941" w:type="dxa"/>
          </w:tcPr>
          <w:p w:rsidR="00DD768B" w:rsidRPr="00DD768B" w:rsidRDefault="00DD768B" w:rsidP="00DD768B">
            <w:pPr>
              <w:rPr>
                <w:rFonts w:ascii="Verdana" w:hAnsi="Verdana"/>
                <w:sz w:val="18"/>
                <w:szCs w:val="18"/>
              </w:rPr>
            </w:pPr>
            <w:r w:rsidRPr="00DD768B">
              <w:rPr>
                <w:rFonts w:ascii="Verdana" w:hAnsi="Verdana"/>
                <w:sz w:val="18"/>
                <w:szCs w:val="18"/>
              </w:rPr>
              <w:t>Cleto (Cosenza)</w:t>
            </w:r>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Pulizie civili e tecniche</w:t>
            </w:r>
          </w:p>
        </w:tc>
      </w:tr>
      <w:tr w:rsidR="00DD768B" w:rsidRPr="00DD768B" w:rsidTr="00121685">
        <w:tc>
          <w:tcPr>
            <w:tcW w:w="2312" w:type="dxa"/>
          </w:tcPr>
          <w:p w:rsidR="00DD768B" w:rsidRPr="00DD768B" w:rsidRDefault="00DD768B" w:rsidP="00DD768B">
            <w:pPr>
              <w:rPr>
                <w:rFonts w:ascii="Verdana" w:hAnsi="Verdana"/>
                <w:sz w:val="18"/>
                <w:szCs w:val="18"/>
                <w:lang w:val="en-US"/>
              </w:rPr>
            </w:pPr>
            <w:r w:rsidRPr="00DD768B">
              <w:rPr>
                <w:rFonts w:ascii="Verdana" w:hAnsi="Verdana"/>
                <w:sz w:val="18"/>
                <w:szCs w:val="18"/>
                <w:lang w:val="en-US"/>
              </w:rPr>
              <w:t xml:space="preserve">MOVITEC Service </w:t>
            </w:r>
            <w:proofErr w:type="spellStart"/>
            <w:r w:rsidRPr="00DD768B">
              <w:rPr>
                <w:rFonts w:ascii="Verdana" w:hAnsi="Verdana"/>
                <w:sz w:val="18"/>
                <w:szCs w:val="18"/>
                <w:lang w:val="en-US"/>
              </w:rPr>
              <w:t>S.r.l</w:t>
            </w:r>
            <w:proofErr w:type="spellEnd"/>
            <w:r w:rsidRPr="00DD768B">
              <w:rPr>
                <w:rFonts w:ascii="Verdana" w:hAnsi="Verdana"/>
                <w:sz w:val="18"/>
                <w:szCs w:val="18"/>
                <w:lang w:val="en-US"/>
              </w:rPr>
              <w:t>.</w:t>
            </w:r>
          </w:p>
        </w:tc>
        <w:tc>
          <w:tcPr>
            <w:tcW w:w="1941" w:type="dxa"/>
          </w:tcPr>
          <w:p w:rsidR="00DD768B" w:rsidRPr="00DD768B" w:rsidRDefault="00DD768B" w:rsidP="00DD768B">
            <w:pPr>
              <w:rPr>
                <w:rFonts w:ascii="Verdana" w:hAnsi="Verdana"/>
                <w:sz w:val="18"/>
                <w:szCs w:val="18"/>
              </w:rPr>
            </w:pPr>
            <w:r w:rsidRPr="00DD768B">
              <w:rPr>
                <w:rFonts w:ascii="Verdana" w:hAnsi="Verdana"/>
                <w:sz w:val="18"/>
                <w:szCs w:val="18"/>
              </w:rPr>
              <w:t>Torino</w:t>
            </w:r>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Movimentazioni e trasporti eccezionali</w:t>
            </w:r>
          </w:p>
        </w:tc>
      </w:tr>
      <w:tr w:rsidR="00DD768B" w:rsidRPr="00DD768B" w:rsidTr="00121685">
        <w:tc>
          <w:tcPr>
            <w:tcW w:w="2312" w:type="dxa"/>
          </w:tcPr>
          <w:p w:rsidR="00DD768B" w:rsidRPr="00DD768B" w:rsidRDefault="00DD768B" w:rsidP="00DD768B">
            <w:pPr>
              <w:rPr>
                <w:rFonts w:ascii="Verdana" w:hAnsi="Verdana"/>
                <w:sz w:val="18"/>
                <w:szCs w:val="18"/>
              </w:rPr>
            </w:pPr>
            <w:r w:rsidRPr="00DD768B">
              <w:rPr>
                <w:rFonts w:ascii="Verdana" w:hAnsi="Verdana"/>
                <w:sz w:val="18"/>
                <w:szCs w:val="18"/>
              </w:rPr>
              <w:t>LA FERR S.n.c.</w:t>
            </w:r>
          </w:p>
        </w:tc>
        <w:tc>
          <w:tcPr>
            <w:tcW w:w="1941" w:type="dxa"/>
          </w:tcPr>
          <w:p w:rsidR="00DD768B" w:rsidRPr="00DD768B" w:rsidRDefault="00DD768B" w:rsidP="00DD768B">
            <w:pPr>
              <w:rPr>
                <w:rFonts w:ascii="Verdana" w:hAnsi="Verdana"/>
                <w:sz w:val="18"/>
                <w:szCs w:val="18"/>
              </w:rPr>
            </w:pPr>
            <w:r w:rsidRPr="00DD768B">
              <w:rPr>
                <w:rFonts w:ascii="Verdana" w:hAnsi="Verdana"/>
                <w:sz w:val="18"/>
                <w:szCs w:val="18"/>
              </w:rPr>
              <w:t>Canicattini</w:t>
            </w:r>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Manutenzione infissi</w:t>
            </w:r>
          </w:p>
        </w:tc>
      </w:tr>
      <w:tr w:rsidR="00DD768B" w:rsidRPr="00DD768B" w:rsidTr="00121685">
        <w:tc>
          <w:tcPr>
            <w:tcW w:w="2312" w:type="dxa"/>
          </w:tcPr>
          <w:p w:rsidR="00DD768B" w:rsidRPr="00DD768B" w:rsidRDefault="00DD768B" w:rsidP="00DD768B">
            <w:pPr>
              <w:rPr>
                <w:rFonts w:ascii="Verdana" w:hAnsi="Verdana"/>
                <w:sz w:val="18"/>
                <w:szCs w:val="18"/>
              </w:rPr>
            </w:pPr>
            <w:r w:rsidRPr="00DD768B">
              <w:rPr>
                <w:rFonts w:ascii="Verdana" w:hAnsi="Verdana"/>
                <w:sz w:val="18"/>
                <w:szCs w:val="18"/>
              </w:rPr>
              <w:t>M.S.M.</w:t>
            </w:r>
          </w:p>
        </w:tc>
        <w:tc>
          <w:tcPr>
            <w:tcW w:w="1941" w:type="dxa"/>
          </w:tcPr>
          <w:p w:rsidR="00DD768B" w:rsidRPr="00DD768B" w:rsidRDefault="00DD768B" w:rsidP="00DD768B">
            <w:pPr>
              <w:rPr>
                <w:rFonts w:ascii="Verdana" w:hAnsi="Verdana"/>
                <w:sz w:val="18"/>
                <w:szCs w:val="18"/>
              </w:rPr>
            </w:pPr>
            <w:proofErr w:type="spellStart"/>
            <w:r w:rsidRPr="00DD768B">
              <w:rPr>
                <w:rFonts w:ascii="Verdana" w:hAnsi="Verdana"/>
                <w:sz w:val="18"/>
                <w:szCs w:val="18"/>
              </w:rPr>
              <w:t>n.d.</w:t>
            </w:r>
            <w:proofErr w:type="spellEnd"/>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Manutenzione elettronica</w:t>
            </w:r>
          </w:p>
        </w:tc>
      </w:tr>
      <w:tr w:rsidR="00DD768B" w:rsidRPr="00DD768B" w:rsidTr="00121685">
        <w:tc>
          <w:tcPr>
            <w:tcW w:w="2312" w:type="dxa"/>
          </w:tcPr>
          <w:p w:rsidR="00DD768B" w:rsidRPr="00DD768B" w:rsidRDefault="00DD768B" w:rsidP="00DD768B">
            <w:pPr>
              <w:rPr>
                <w:rFonts w:ascii="Verdana" w:hAnsi="Verdana"/>
                <w:sz w:val="18"/>
                <w:szCs w:val="18"/>
                <w:lang w:val="en-US"/>
              </w:rPr>
            </w:pPr>
            <w:r w:rsidRPr="00DD768B">
              <w:rPr>
                <w:rFonts w:ascii="Verdana" w:hAnsi="Verdana"/>
                <w:sz w:val="18"/>
                <w:szCs w:val="18"/>
                <w:lang w:val="en-US"/>
              </w:rPr>
              <w:t xml:space="preserve">CMA Engineering </w:t>
            </w:r>
            <w:proofErr w:type="spellStart"/>
            <w:r w:rsidRPr="00DD768B">
              <w:rPr>
                <w:rFonts w:ascii="Verdana" w:hAnsi="Verdana"/>
                <w:sz w:val="18"/>
                <w:szCs w:val="18"/>
                <w:lang w:val="en-US"/>
              </w:rPr>
              <w:t>S.r.l</w:t>
            </w:r>
            <w:proofErr w:type="spellEnd"/>
            <w:r w:rsidRPr="00DD768B">
              <w:rPr>
                <w:rFonts w:ascii="Verdana" w:hAnsi="Verdana"/>
                <w:sz w:val="18"/>
                <w:szCs w:val="18"/>
                <w:lang w:val="en-US"/>
              </w:rPr>
              <w:t>.</w:t>
            </w:r>
          </w:p>
        </w:tc>
        <w:tc>
          <w:tcPr>
            <w:tcW w:w="1941" w:type="dxa"/>
          </w:tcPr>
          <w:p w:rsidR="00DD768B" w:rsidRPr="00DD768B" w:rsidRDefault="00DD768B" w:rsidP="00DD768B">
            <w:pPr>
              <w:rPr>
                <w:rFonts w:ascii="Verdana" w:hAnsi="Verdana"/>
                <w:sz w:val="18"/>
                <w:szCs w:val="18"/>
              </w:rPr>
            </w:pPr>
            <w:r w:rsidRPr="00DD768B">
              <w:rPr>
                <w:rFonts w:ascii="Verdana" w:hAnsi="Verdana"/>
                <w:sz w:val="18"/>
                <w:szCs w:val="18"/>
              </w:rPr>
              <w:t>Foggia</w:t>
            </w:r>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Manutenzione meccanica</w:t>
            </w:r>
          </w:p>
        </w:tc>
      </w:tr>
      <w:tr w:rsidR="00DD768B" w:rsidRPr="00DD768B" w:rsidTr="00121685">
        <w:tc>
          <w:tcPr>
            <w:tcW w:w="2312" w:type="dxa"/>
          </w:tcPr>
          <w:p w:rsidR="00DD768B" w:rsidRPr="00DD768B" w:rsidRDefault="00DD768B" w:rsidP="00DD768B">
            <w:pPr>
              <w:rPr>
                <w:rFonts w:ascii="Verdana" w:hAnsi="Verdana"/>
                <w:sz w:val="18"/>
                <w:szCs w:val="18"/>
              </w:rPr>
            </w:pPr>
            <w:r w:rsidRPr="00DD768B">
              <w:rPr>
                <w:rFonts w:ascii="Verdana" w:hAnsi="Verdana"/>
                <w:sz w:val="18"/>
                <w:szCs w:val="18"/>
              </w:rPr>
              <w:t>SE.MA Industriale s.r.l.</w:t>
            </w:r>
          </w:p>
        </w:tc>
        <w:tc>
          <w:tcPr>
            <w:tcW w:w="1941" w:type="dxa"/>
          </w:tcPr>
          <w:p w:rsidR="00DD768B" w:rsidRPr="00DD768B" w:rsidRDefault="00DD768B" w:rsidP="00DD768B">
            <w:pPr>
              <w:rPr>
                <w:rFonts w:ascii="Verdana" w:hAnsi="Verdana"/>
                <w:sz w:val="18"/>
                <w:szCs w:val="18"/>
              </w:rPr>
            </w:pPr>
            <w:r w:rsidRPr="00DD768B">
              <w:rPr>
                <w:rFonts w:ascii="Verdana" w:hAnsi="Verdana"/>
                <w:sz w:val="18"/>
                <w:szCs w:val="18"/>
              </w:rPr>
              <w:t>Manfredonia (FG)</w:t>
            </w:r>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Manutenzione software</w:t>
            </w:r>
          </w:p>
        </w:tc>
      </w:tr>
      <w:tr w:rsidR="00DD768B" w:rsidRPr="00DD768B" w:rsidTr="00121685">
        <w:tc>
          <w:tcPr>
            <w:tcW w:w="2312" w:type="dxa"/>
          </w:tcPr>
          <w:p w:rsidR="00DD768B" w:rsidRPr="00DD768B" w:rsidRDefault="00DD768B" w:rsidP="00DD768B">
            <w:pPr>
              <w:rPr>
                <w:rFonts w:ascii="Verdana" w:hAnsi="Verdana"/>
                <w:sz w:val="18"/>
                <w:szCs w:val="18"/>
              </w:rPr>
            </w:pPr>
            <w:r w:rsidRPr="00DD768B">
              <w:rPr>
                <w:rFonts w:ascii="Verdana" w:hAnsi="Verdana"/>
                <w:sz w:val="18"/>
                <w:szCs w:val="18"/>
              </w:rPr>
              <w:t>LAMES</w:t>
            </w:r>
          </w:p>
        </w:tc>
        <w:tc>
          <w:tcPr>
            <w:tcW w:w="1941" w:type="dxa"/>
          </w:tcPr>
          <w:p w:rsidR="00DD768B" w:rsidRPr="00DD768B" w:rsidRDefault="00DD768B" w:rsidP="00DD768B">
            <w:pPr>
              <w:rPr>
                <w:rFonts w:ascii="Verdana" w:hAnsi="Verdana"/>
                <w:sz w:val="18"/>
                <w:szCs w:val="18"/>
              </w:rPr>
            </w:pPr>
            <w:r w:rsidRPr="00DD768B">
              <w:rPr>
                <w:rFonts w:ascii="Verdana" w:hAnsi="Verdana"/>
                <w:sz w:val="18"/>
                <w:szCs w:val="18"/>
              </w:rPr>
              <w:t>Vallata (Avellino)</w:t>
            </w:r>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Fornitura sotto basamenti</w:t>
            </w:r>
          </w:p>
        </w:tc>
      </w:tr>
      <w:tr w:rsidR="00DD768B" w:rsidRPr="00DD768B" w:rsidTr="00121685">
        <w:tc>
          <w:tcPr>
            <w:tcW w:w="2312" w:type="dxa"/>
          </w:tcPr>
          <w:p w:rsidR="00DD768B" w:rsidRPr="00DD768B" w:rsidRDefault="00DD768B" w:rsidP="00DD768B">
            <w:pPr>
              <w:rPr>
                <w:rFonts w:ascii="Verdana" w:hAnsi="Verdana"/>
                <w:sz w:val="18"/>
                <w:szCs w:val="18"/>
                <w:lang w:val="en-US"/>
              </w:rPr>
            </w:pPr>
            <w:r w:rsidRPr="00DD768B">
              <w:rPr>
                <w:rFonts w:ascii="Verdana" w:hAnsi="Verdana"/>
                <w:sz w:val="18"/>
                <w:szCs w:val="18"/>
                <w:lang w:val="en-US"/>
              </w:rPr>
              <w:t xml:space="preserve">INFUR FOR </w:t>
            </w:r>
            <w:proofErr w:type="spellStart"/>
            <w:r w:rsidRPr="00DD768B">
              <w:rPr>
                <w:rFonts w:ascii="Verdana" w:hAnsi="Verdana"/>
                <w:sz w:val="18"/>
                <w:szCs w:val="18"/>
                <w:lang w:val="en-US"/>
              </w:rPr>
              <w:t>S.p.a</w:t>
            </w:r>
            <w:proofErr w:type="spellEnd"/>
            <w:r w:rsidRPr="00DD768B">
              <w:rPr>
                <w:rFonts w:ascii="Verdana" w:hAnsi="Verdana"/>
                <w:sz w:val="18"/>
                <w:szCs w:val="18"/>
                <w:lang w:val="en-US"/>
              </w:rPr>
              <w:t>.</w:t>
            </w:r>
          </w:p>
        </w:tc>
        <w:tc>
          <w:tcPr>
            <w:tcW w:w="1941" w:type="dxa"/>
          </w:tcPr>
          <w:p w:rsidR="00DD768B" w:rsidRPr="00DD768B" w:rsidRDefault="00DD768B" w:rsidP="00DD768B">
            <w:pPr>
              <w:rPr>
                <w:rFonts w:ascii="Verdana" w:hAnsi="Verdana"/>
                <w:sz w:val="18"/>
                <w:szCs w:val="18"/>
              </w:rPr>
            </w:pPr>
            <w:r w:rsidRPr="00DD768B">
              <w:rPr>
                <w:rFonts w:ascii="Verdana" w:hAnsi="Verdana"/>
                <w:sz w:val="18"/>
                <w:szCs w:val="18"/>
              </w:rPr>
              <w:t>Rovigo</w:t>
            </w:r>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Assistenza materiale grezzo</w:t>
            </w:r>
          </w:p>
        </w:tc>
      </w:tr>
      <w:tr w:rsidR="00DD768B" w:rsidRPr="00DD768B" w:rsidTr="00121685">
        <w:tc>
          <w:tcPr>
            <w:tcW w:w="2312" w:type="dxa"/>
          </w:tcPr>
          <w:p w:rsidR="00DD768B" w:rsidRPr="00DD768B" w:rsidRDefault="00DD768B" w:rsidP="00DD768B">
            <w:pPr>
              <w:rPr>
                <w:rFonts w:ascii="Verdana" w:hAnsi="Verdana"/>
                <w:sz w:val="18"/>
                <w:szCs w:val="18"/>
              </w:rPr>
            </w:pPr>
            <w:r w:rsidRPr="00DD768B">
              <w:rPr>
                <w:rFonts w:ascii="Verdana" w:hAnsi="Verdana"/>
                <w:sz w:val="18"/>
                <w:szCs w:val="18"/>
              </w:rPr>
              <w:t>DARCAST</w:t>
            </w:r>
          </w:p>
        </w:tc>
        <w:tc>
          <w:tcPr>
            <w:tcW w:w="1941" w:type="dxa"/>
          </w:tcPr>
          <w:p w:rsidR="00DD768B" w:rsidRPr="00DD768B" w:rsidRDefault="00DD768B" w:rsidP="00DD768B">
            <w:pPr>
              <w:rPr>
                <w:rFonts w:ascii="Verdana" w:hAnsi="Verdana"/>
                <w:sz w:val="18"/>
                <w:szCs w:val="18"/>
              </w:rPr>
            </w:pPr>
            <w:r w:rsidRPr="00DD768B">
              <w:rPr>
                <w:rFonts w:ascii="Verdana" w:hAnsi="Verdana"/>
                <w:sz w:val="18"/>
                <w:szCs w:val="18"/>
              </w:rPr>
              <w:t>REGNO UNITO</w:t>
            </w:r>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Assistenza materiale grezzo (alberi motore)</w:t>
            </w:r>
          </w:p>
        </w:tc>
      </w:tr>
      <w:tr w:rsidR="00DD768B" w:rsidRPr="00DD768B" w:rsidTr="00121685">
        <w:tc>
          <w:tcPr>
            <w:tcW w:w="2312" w:type="dxa"/>
          </w:tcPr>
          <w:p w:rsidR="00DD768B" w:rsidRPr="00DD768B" w:rsidRDefault="00DD768B" w:rsidP="00DD768B">
            <w:pPr>
              <w:rPr>
                <w:rFonts w:ascii="Verdana" w:hAnsi="Verdana"/>
                <w:sz w:val="18"/>
                <w:szCs w:val="18"/>
              </w:rPr>
            </w:pPr>
            <w:r w:rsidRPr="00DD768B">
              <w:rPr>
                <w:rFonts w:ascii="Verdana" w:hAnsi="Verdana"/>
                <w:sz w:val="18"/>
                <w:szCs w:val="18"/>
              </w:rPr>
              <w:t>TEKSID Poland</w:t>
            </w:r>
          </w:p>
        </w:tc>
        <w:tc>
          <w:tcPr>
            <w:tcW w:w="1941" w:type="dxa"/>
          </w:tcPr>
          <w:p w:rsidR="00DD768B" w:rsidRPr="00DD768B" w:rsidRDefault="00DD768B" w:rsidP="00DD768B">
            <w:pPr>
              <w:rPr>
                <w:rFonts w:ascii="Verdana" w:hAnsi="Verdana"/>
                <w:sz w:val="18"/>
                <w:szCs w:val="18"/>
              </w:rPr>
            </w:pPr>
            <w:r w:rsidRPr="00DD768B">
              <w:rPr>
                <w:rFonts w:ascii="Verdana" w:hAnsi="Verdana"/>
                <w:sz w:val="18"/>
                <w:szCs w:val="18"/>
              </w:rPr>
              <w:t>POLONIA</w:t>
            </w:r>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Assistenza materiale grezzo</w:t>
            </w:r>
          </w:p>
        </w:tc>
      </w:tr>
      <w:tr w:rsidR="00DD768B" w:rsidRPr="00DD768B" w:rsidTr="00121685">
        <w:tc>
          <w:tcPr>
            <w:tcW w:w="2312" w:type="dxa"/>
          </w:tcPr>
          <w:p w:rsidR="00DD768B" w:rsidRPr="00DD768B" w:rsidRDefault="00DD768B" w:rsidP="00DD768B">
            <w:pPr>
              <w:rPr>
                <w:rFonts w:ascii="Verdana" w:hAnsi="Verdana"/>
                <w:sz w:val="18"/>
                <w:szCs w:val="18"/>
              </w:rPr>
            </w:pPr>
            <w:r w:rsidRPr="00DD768B">
              <w:rPr>
                <w:rFonts w:ascii="Verdana" w:hAnsi="Verdana"/>
                <w:sz w:val="18"/>
                <w:szCs w:val="18"/>
              </w:rPr>
              <w:t>ASSISTEVA 2000</w:t>
            </w:r>
          </w:p>
        </w:tc>
        <w:tc>
          <w:tcPr>
            <w:tcW w:w="1941" w:type="dxa"/>
          </w:tcPr>
          <w:p w:rsidR="00DD768B" w:rsidRPr="00DD768B" w:rsidRDefault="00DD768B" w:rsidP="00DD768B">
            <w:pPr>
              <w:rPr>
                <w:rFonts w:ascii="Verdana" w:hAnsi="Verdana"/>
                <w:sz w:val="18"/>
                <w:szCs w:val="18"/>
              </w:rPr>
            </w:pPr>
            <w:proofErr w:type="spellStart"/>
            <w:r w:rsidRPr="00DD768B">
              <w:rPr>
                <w:rFonts w:ascii="Verdana" w:hAnsi="Verdana"/>
                <w:sz w:val="18"/>
                <w:szCs w:val="18"/>
              </w:rPr>
              <w:t>n.d.</w:t>
            </w:r>
            <w:proofErr w:type="spellEnd"/>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Selezione diretta o per conto terzi</w:t>
            </w:r>
          </w:p>
        </w:tc>
      </w:tr>
      <w:tr w:rsidR="00DD768B" w:rsidRPr="00DD768B" w:rsidTr="00121685">
        <w:tc>
          <w:tcPr>
            <w:tcW w:w="2312" w:type="dxa"/>
          </w:tcPr>
          <w:p w:rsidR="00DD768B" w:rsidRPr="00DD768B" w:rsidRDefault="00DD768B" w:rsidP="00DD768B">
            <w:pPr>
              <w:rPr>
                <w:rFonts w:ascii="Verdana" w:hAnsi="Verdana"/>
                <w:sz w:val="18"/>
                <w:szCs w:val="18"/>
              </w:rPr>
            </w:pPr>
            <w:r w:rsidRPr="00DD768B">
              <w:rPr>
                <w:rFonts w:ascii="Verdana" w:hAnsi="Verdana"/>
                <w:sz w:val="18"/>
                <w:szCs w:val="18"/>
              </w:rPr>
              <w:t>BERNASCONI</w:t>
            </w:r>
          </w:p>
        </w:tc>
        <w:tc>
          <w:tcPr>
            <w:tcW w:w="1941" w:type="dxa"/>
          </w:tcPr>
          <w:p w:rsidR="00DD768B" w:rsidRPr="00DD768B" w:rsidRDefault="00DD768B" w:rsidP="00DD768B">
            <w:pPr>
              <w:rPr>
                <w:rFonts w:ascii="Verdana" w:hAnsi="Verdana"/>
                <w:sz w:val="18"/>
                <w:szCs w:val="18"/>
              </w:rPr>
            </w:pPr>
            <w:proofErr w:type="spellStart"/>
            <w:r w:rsidRPr="00DD768B">
              <w:rPr>
                <w:rFonts w:ascii="Verdana" w:hAnsi="Verdana"/>
                <w:sz w:val="18"/>
                <w:szCs w:val="18"/>
              </w:rPr>
              <w:t>n.d.</w:t>
            </w:r>
            <w:proofErr w:type="spellEnd"/>
          </w:p>
        </w:tc>
        <w:tc>
          <w:tcPr>
            <w:tcW w:w="4252" w:type="dxa"/>
          </w:tcPr>
          <w:p w:rsidR="00DD768B" w:rsidRPr="00DD768B" w:rsidRDefault="00DD768B" w:rsidP="00DD768B">
            <w:pPr>
              <w:rPr>
                <w:rFonts w:ascii="Verdana" w:hAnsi="Verdana"/>
                <w:sz w:val="18"/>
                <w:szCs w:val="18"/>
              </w:rPr>
            </w:pPr>
            <w:r w:rsidRPr="00DD768B">
              <w:rPr>
                <w:rFonts w:ascii="Verdana" w:hAnsi="Verdana"/>
                <w:sz w:val="18"/>
                <w:szCs w:val="18"/>
              </w:rPr>
              <w:t>Selezione diretta o per conto terzi</w:t>
            </w:r>
          </w:p>
        </w:tc>
      </w:tr>
    </w:tbl>
    <w:p w:rsidR="00DD768B" w:rsidRPr="00DD768B" w:rsidRDefault="00DD768B" w:rsidP="00DD768B">
      <w:pPr>
        <w:spacing w:after="0" w:line="360" w:lineRule="auto"/>
        <w:jc w:val="both"/>
        <w:rPr>
          <w:rFonts w:ascii="Verdana" w:eastAsiaTheme="minorEastAsia" w:hAnsi="Verdana"/>
          <w:sz w:val="18"/>
          <w:szCs w:val="18"/>
          <w:lang w:eastAsia="it-IT"/>
        </w:rPr>
      </w:pPr>
      <w:r w:rsidRPr="00DD768B">
        <w:rPr>
          <w:rFonts w:ascii="Verdana" w:eastAsiaTheme="minorEastAsia" w:hAnsi="Verdana"/>
          <w:i/>
          <w:sz w:val="18"/>
          <w:szCs w:val="18"/>
          <w:lang w:eastAsia="it-IT"/>
        </w:rPr>
        <w:t>Fonte</w:t>
      </w:r>
      <w:r w:rsidRPr="00DD768B">
        <w:rPr>
          <w:rFonts w:ascii="Verdana" w:eastAsiaTheme="minorEastAsia" w:hAnsi="Verdana"/>
          <w:sz w:val="18"/>
          <w:szCs w:val="18"/>
          <w:lang w:eastAsia="it-IT"/>
        </w:rPr>
        <w:t xml:space="preserve">: ns. indagine diretta; </w:t>
      </w:r>
      <w:proofErr w:type="spellStart"/>
      <w:r w:rsidRPr="00DD768B">
        <w:rPr>
          <w:rFonts w:ascii="Verdana" w:eastAsiaTheme="minorEastAsia" w:hAnsi="Verdana"/>
          <w:sz w:val="18"/>
          <w:szCs w:val="18"/>
          <w:lang w:eastAsia="it-IT"/>
        </w:rPr>
        <w:t>n.d.</w:t>
      </w:r>
      <w:proofErr w:type="spellEnd"/>
      <w:r w:rsidRPr="00DD768B">
        <w:rPr>
          <w:rFonts w:ascii="Verdana" w:eastAsiaTheme="minorEastAsia" w:hAnsi="Verdana"/>
          <w:sz w:val="18"/>
          <w:szCs w:val="18"/>
          <w:lang w:eastAsia="it-IT"/>
        </w:rPr>
        <w:t xml:space="preserve"> = dato non disponibile.</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Un ultimo dato relativo allo stabilimento di Foggia è quello legato al WCM. Nell’ambito della classifica aziendale lo stabilimento è al livello argento ma starebbe concorrendo per il conseguimento della medaglia d’oro (così per lo stabilimento Magneti Marelli di Bari). Come nel resto degli stabilimenti FCA e CNH il conseguimento del WCM sta avvenendo molto sul fronte del risparmio di spesa, attraverso la “razionalizzazione delle spese” al fine di migliorare i margini di efficienza della gestione aziendale, e contemporaneamente sul fronte dell’organizzazione del lavoro attraverso un’intensificazione dei tempi di lavoro, anche e non necessariamente con l’utilizzo dell’ERGO UAS che, ad esempio, non è applicato nello stabilimento di Foggia se non su una linea della finizione.</w:t>
      </w:r>
    </w:p>
    <w:p w:rsidR="00DD768B" w:rsidRDefault="00DD768B" w:rsidP="00675BB1">
      <w:pPr>
        <w:tabs>
          <w:tab w:val="left" w:pos="4536"/>
        </w:tabs>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 xml:space="preserve">Lo stabilimento CNH di Lecce, poco più di 620 dipendenti, compresi i circa 40 dell’area </w:t>
      </w:r>
      <w:proofErr w:type="spellStart"/>
      <w:r w:rsidRPr="00DD768B">
        <w:rPr>
          <w:rFonts w:ascii="Verdana" w:eastAsiaTheme="minorEastAsia" w:hAnsi="Verdana"/>
          <w:lang w:eastAsia="it-IT"/>
        </w:rPr>
        <w:t>testing</w:t>
      </w:r>
      <w:proofErr w:type="spellEnd"/>
      <w:r w:rsidRPr="00DD768B">
        <w:rPr>
          <w:rFonts w:ascii="Verdana" w:eastAsiaTheme="minorEastAsia" w:hAnsi="Verdana"/>
          <w:vertAlign w:val="superscript"/>
          <w:lang w:eastAsia="it-IT"/>
        </w:rPr>
        <w:footnoteReference w:id="9"/>
      </w:r>
      <w:r w:rsidRPr="00DD768B">
        <w:rPr>
          <w:rFonts w:ascii="Verdana" w:eastAsiaTheme="minorEastAsia" w:hAnsi="Verdana"/>
          <w:lang w:eastAsia="it-IT"/>
        </w:rPr>
        <w:t xml:space="preserve">, è specializzato invece nella produzione di macchine movimento terra. Come nel caso degli altri stabilimenti FIAT in regione anche questo dispone di un limitatissimo parco fornitori composto in prevalenza di aziende terziste essendo localizzate le produzione dei componenti principalmente in altri stabilimenti tra cui quello CNH di Modena. Nel resto del territorio provinciale le aziende </w:t>
      </w:r>
      <w:proofErr w:type="spellStart"/>
      <w:r w:rsidRPr="00DD768B">
        <w:rPr>
          <w:rFonts w:ascii="Verdana" w:eastAsiaTheme="minorEastAsia" w:hAnsi="Verdana"/>
          <w:lang w:eastAsia="it-IT"/>
        </w:rPr>
        <w:t>dell’automotive</w:t>
      </w:r>
      <w:proofErr w:type="spellEnd"/>
      <w:r w:rsidRPr="00DD768B">
        <w:rPr>
          <w:rFonts w:ascii="Verdana" w:eastAsiaTheme="minorEastAsia" w:hAnsi="Verdana"/>
          <w:lang w:eastAsia="it-IT"/>
        </w:rPr>
        <w:t xml:space="preserve"> sono assai poche, la più rilevante che sorge di fronte allo stabilimento CNH è la LASIM che fornisce particolari stampati per lo stabilimento FCA di Melfi e altri siti produttivi. Si tratta nel complesso di meno di 10 aziende che compreso lo stabilimento CNH configurano un’occupazione di poco meno di 1.500 addetti (</w:t>
      </w:r>
      <w:proofErr w:type="spellStart"/>
      <w:r w:rsidRPr="00DD768B">
        <w:rPr>
          <w:rFonts w:ascii="Verdana" w:eastAsiaTheme="minorEastAsia" w:hAnsi="Verdana"/>
          <w:lang w:eastAsia="it-IT"/>
        </w:rPr>
        <w:t>tab</w:t>
      </w:r>
      <w:proofErr w:type="spellEnd"/>
      <w:r w:rsidRPr="00DD768B">
        <w:rPr>
          <w:rFonts w:ascii="Verdana" w:eastAsiaTheme="minorEastAsia" w:hAnsi="Verdana"/>
          <w:lang w:eastAsia="it-IT"/>
        </w:rPr>
        <w:t>. 13).</w:t>
      </w:r>
    </w:p>
    <w:p w:rsidR="00DD768B" w:rsidRPr="00DD768B" w:rsidRDefault="00DD768B" w:rsidP="00DD768B">
      <w:pPr>
        <w:spacing w:after="0" w:line="360" w:lineRule="auto"/>
        <w:ind w:firstLine="284"/>
        <w:jc w:val="both"/>
        <w:rPr>
          <w:rFonts w:ascii="Verdana" w:eastAsiaTheme="minorEastAsia" w:hAnsi="Verdana"/>
          <w:lang w:eastAsia="it-IT"/>
        </w:rPr>
      </w:pPr>
      <w:r w:rsidRPr="00DD768B">
        <w:rPr>
          <w:rFonts w:ascii="Verdana" w:eastAsiaTheme="minorEastAsia" w:hAnsi="Verdana"/>
          <w:lang w:eastAsia="it-IT"/>
        </w:rPr>
        <w:t xml:space="preserve">Nell’ambito più generale delle aziende del settore </w:t>
      </w:r>
      <w:proofErr w:type="spellStart"/>
      <w:r w:rsidRPr="00DD768B">
        <w:rPr>
          <w:rFonts w:ascii="Verdana" w:eastAsiaTheme="minorEastAsia" w:hAnsi="Verdana"/>
          <w:lang w:eastAsia="it-IT"/>
        </w:rPr>
        <w:t>automotive</w:t>
      </w:r>
      <w:proofErr w:type="spellEnd"/>
      <w:r w:rsidRPr="00DD768B">
        <w:rPr>
          <w:rFonts w:ascii="Verdana" w:eastAsiaTheme="minorEastAsia" w:hAnsi="Verdana"/>
          <w:lang w:eastAsia="it-IT"/>
        </w:rPr>
        <w:t xml:space="preserve"> va contemplata l’ex pista prova di FIAT di Nardò creata nel 1975 e acquisita nel 2012 dalla PORSCHE e che attualmente conta su circa 110 dipendenti e che oggi rappresenta una delle principali piste prove per la maggior parte delle case automobilistiche europee.</w:t>
      </w:r>
    </w:p>
    <w:p w:rsidR="00DD768B" w:rsidRPr="00DD768B" w:rsidRDefault="00DD768B" w:rsidP="00DD768B">
      <w:pPr>
        <w:spacing w:after="0" w:line="360" w:lineRule="auto"/>
        <w:ind w:firstLine="284"/>
        <w:rPr>
          <w:rFonts w:ascii="Verdana" w:eastAsiaTheme="minorEastAsia" w:hAnsi="Verdana"/>
          <w:lang w:eastAsia="it-IT"/>
        </w:rPr>
      </w:pPr>
    </w:p>
    <w:p w:rsidR="00DD768B" w:rsidRPr="00DD768B" w:rsidRDefault="00DD768B" w:rsidP="00DD768B">
      <w:pPr>
        <w:spacing w:after="0" w:line="360" w:lineRule="auto"/>
        <w:rPr>
          <w:rFonts w:ascii="Verdana" w:eastAsiaTheme="minorEastAsia" w:hAnsi="Verdana"/>
          <w:sz w:val="18"/>
          <w:szCs w:val="18"/>
          <w:lang w:eastAsia="it-IT"/>
        </w:rPr>
      </w:pPr>
      <w:proofErr w:type="spellStart"/>
      <w:r w:rsidRPr="00DD768B">
        <w:rPr>
          <w:rFonts w:ascii="Verdana" w:eastAsiaTheme="minorEastAsia" w:hAnsi="Verdana"/>
          <w:sz w:val="18"/>
          <w:szCs w:val="18"/>
          <w:lang w:eastAsia="it-IT"/>
        </w:rPr>
        <w:t>Tab</w:t>
      </w:r>
      <w:proofErr w:type="spellEnd"/>
      <w:r w:rsidRPr="00DD768B">
        <w:rPr>
          <w:rFonts w:ascii="Verdana" w:eastAsiaTheme="minorEastAsia" w:hAnsi="Verdana"/>
          <w:sz w:val="18"/>
          <w:szCs w:val="18"/>
          <w:lang w:eastAsia="it-IT"/>
        </w:rPr>
        <w:t xml:space="preserve">. 13 – Aziende del settore </w:t>
      </w:r>
      <w:proofErr w:type="spellStart"/>
      <w:r w:rsidRPr="00DD768B">
        <w:rPr>
          <w:rFonts w:ascii="Verdana" w:eastAsiaTheme="minorEastAsia" w:hAnsi="Verdana"/>
          <w:sz w:val="18"/>
          <w:szCs w:val="18"/>
          <w:lang w:eastAsia="it-IT"/>
        </w:rPr>
        <w:t>automotive</w:t>
      </w:r>
      <w:proofErr w:type="spellEnd"/>
      <w:r w:rsidRPr="00DD768B">
        <w:rPr>
          <w:rFonts w:ascii="Verdana" w:eastAsiaTheme="minorEastAsia" w:hAnsi="Verdana"/>
          <w:sz w:val="18"/>
          <w:szCs w:val="18"/>
          <w:lang w:eastAsia="it-IT"/>
        </w:rPr>
        <w:t xml:space="preserve"> in provincia di Lecce </w:t>
      </w:r>
    </w:p>
    <w:tbl>
      <w:tblPr>
        <w:tblStyle w:val="Grigliatabella"/>
        <w:tblW w:w="8475" w:type="dxa"/>
        <w:tblInd w:w="108" w:type="dxa"/>
        <w:tblLook w:val="04A0" w:firstRow="1" w:lastRow="0" w:firstColumn="1" w:lastColumn="0" w:noHBand="0" w:noVBand="1"/>
      </w:tblPr>
      <w:tblGrid>
        <w:gridCol w:w="1843"/>
        <w:gridCol w:w="1134"/>
        <w:gridCol w:w="3119"/>
        <w:gridCol w:w="1419"/>
        <w:gridCol w:w="960"/>
      </w:tblGrid>
      <w:tr w:rsidR="00DD768B" w:rsidRPr="00DD768B" w:rsidTr="00121685">
        <w:tc>
          <w:tcPr>
            <w:tcW w:w="1843" w:type="dxa"/>
            <w:vAlign w:val="center"/>
          </w:tcPr>
          <w:p w:rsidR="00DD768B" w:rsidRPr="00DD768B" w:rsidRDefault="00DD768B" w:rsidP="00DD768B">
            <w:pPr>
              <w:jc w:val="center"/>
              <w:rPr>
                <w:rFonts w:ascii="Verdana" w:hAnsi="Verdana"/>
                <w:sz w:val="18"/>
                <w:szCs w:val="18"/>
              </w:rPr>
            </w:pPr>
            <w:r w:rsidRPr="00DD768B">
              <w:rPr>
                <w:rFonts w:ascii="Verdana" w:hAnsi="Verdana"/>
                <w:sz w:val="18"/>
                <w:szCs w:val="18"/>
              </w:rPr>
              <w:t>Azienda</w:t>
            </w:r>
          </w:p>
        </w:tc>
        <w:tc>
          <w:tcPr>
            <w:tcW w:w="1134" w:type="dxa"/>
            <w:vAlign w:val="center"/>
          </w:tcPr>
          <w:p w:rsidR="00DD768B" w:rsidRPr="00DD768B" w:rsidRDefault="00DD768B" w:rsidP="00DD768B">
            <w:pPr>
              <w:jc w:val="center"/>
              <w:rPr>
                <w:rFonts w:ascii="Verdana" w:hAnsi="Verdana"/>
                <w:sz w:val="18"/>
                <w:szCs w:val="18"/>
              </w:rPr>
            </w:pPr>
            <w:r w:rsidRPr="00DD768B">
              <w:rPr>
                <w:rFonts w:ascii="Verdana" w:hAnsi="Verdana"/>
                <w:sz w:val="18"/>
                <w:szCs w:val="18"/>
              </w:rPr>
              <w:t>Sede</w:t>
            </w:r>
          </w:p>
        </w:tc>
        <w:tc>
          <w:tcPr>
            <w:tcW w:w="3119" w:type="dxa"/>
            <w:vAlign w:val="center"/>
          </w:tcPr>
          <w:p w:rsidR="00DD768B" w:rsidRPr="00DD768B" w:rsidRDefault="00DD768B" w:rsidP="00DD768B">
            <w:pPr>
              <w:jc w:val="center"/>
              <w:rPr>
                <w:rFonts w:ascii="Verdana" w:hAnsi="Verdana"/>
                <w:sz w:val="18"/>
                <w:szCs w:val="18"/>
              </w:rPr>
            </w:pPr>
            <w:r w:rsidRPr="00DD768B">
              <w:rPr>
                <w:rFonts w:ascii="Verdana" w:hAnsi="Verdana"/>
                <w:sz w:val="18"/>
                <w:szCs w:val="18"/>
              </w:rPr>
              <w:t>Produzione/lavorazione</w:t>
            </w:r>
          </w:p>
        </w:tc>
        <w:tc>
          <w:tcPr>
            <w:tcW w:w="1419" w:type="dxa"/>
            <w:vAlign w:val="center"/>
          </w:tcPr>
          <w:p w:rsidR="00DD768B" w:rsidRPr="00DD768B" w:rsidRDefault="00DD768B" w:rsidP="00DD768B">
            <w:pPr>
              <w:jc w:val="center"/>
              <w:rPr>
                <w:rFonts w:ascii="Verdana" w:hAnsi="Verdana"/>
                <w:sz w:val="18"/>
                <w:szCs w:val="18"/>
              </w:rPr>
            </w:pPr>
            <w:r w:rsidRPr="00DD768B">
              <w:rPr>
                <w:rFonts w:ascii="Verdana" w:hAnsi="Verdana"/>
                <w:sz w:val="18"/>
                <w:szCs w:val="18"/>
              </w:rPr>
              <w:t>Cliente finale</w:t>
            </w:r>
          </w:p>
        </w:tc>
        <w:tc>
          <w:tcPr>
            <w:tcW w:w="960" w:type="dxa"/>
            <w:vAlign w:val="center"/>
          </w:tcPr>
          <w:p w:rsidR="00DD768B" w:rsidRPr="00DD768B" w:rsidRDefault="00DD768B" w:rsidP="00DD768B">
            <w:pPr>
              <w:jc w:val="center"/>
              <w:rPr>
                <w:rFonts w:ascii="Verdana" w:hAnsi="Verdana"/>
                <w:sz w:val="18"/>
                <w:szCs w:val="18"/>
              </w:rPr>
            </w:pPr>
            <w:r w:rsidRPr="00DD768B">
              <w:rPr>
                <w:rFonts w:ascii="Verdana" w:hAnsi="Verdana"/>
                <w:sz w:val="18"/>
                <w:szCs w:val="18"/>
              </w:rPr>
              <w:t>addetti</w:t>
            </w:r>
          </w:p>
        </w:tc>
      </w:tr>
      <w:tr w:rsidR="00DD768B" w:rsidRPr="00DD768B" w:rsidTr="00121685">
        <w:tc>
          <w:tcPr>
            <w:tcW w:w="1843" w:type="dxa"/>
            <w:vAlign w:val="center"/>
          </w:tcPr>
          <w:p w:rsidR="00DD768B" w:rsidRPr="00DD768B" w:rsidRDefault="00DD768B" w:rsidP="00DD768B">
            <w:pPr>
              <w:rPr>
                <w:rFonts w:ascii="Verdana" w:hAnsi="Verdana"/>
                <w:sz w:val="18"/>
                <w:szCs w:val="18"/>
              </w:rPr>
            </w:pPr>
            <w:r w:rsidRPr="00DD768B">
              <w:rPr>
                <w:rFonts w:ascii="Verdana" w:hAnsi="Verdana"/>
                <w:sz w:val="18"/>
                <w:szCs w:val="18"/>
              </w:rPr>
              <w:t>Case (CNH)</w:t>
            </w:r>
          </w:p>
        </w:tc>
        <w:tc>
          <w:tcPr>
            <w:tcW w:w="1134" w:type="dxa"/>
            <w:vAlign w:val="center"/>
          </w:tcPr>
          <w:p w:rsidR="00DD768B" w:rsidRPr="00DD768B" w:rsidRDefault="00DD768B" w:rsidP="00DD768B">
            <w:pPr>
              <w:rPr>
                <w:rFonts w:ascii="Verdana" w:hAnsi="Verdana"/>
                <w:sz w:val="18"/>
                <w:szCs w:val="18"/>
              </w:rPr>
            </w:pPr>
            <w:r w:rsidRPr="00DD768B">
              <w:rPr>
                <w:rFonts w:ascii="Verdana" w:hAnsi="Verdana"/>
                <w:sz w:val="18"/>
                <w:szCs w:val="18"/>
              </w:rPr>
              <w:t>Lecce</w:t>
            </w:r>
          </w:p>
        </w:tc>
        <w:tc>
          <w:tcPr>
            <w:tcW w:w="31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Macchine movimento terra</w:t>
            </w:r>
          </w:p>
        </w:tc>
        <w:tc>
          <w:tcPr>
            <w:tcW w:w="1419" w:type="dxa"/>
            <w:vAlign w:val="center"/>
          </w:tcPr>
          <w:p w:rsidR="00DD768B" w:rsidRPr="00DD768B" w:rsidRDefault="00DD768B" w:rsidP="00DD768B">
            <w:pPr>
              <w:rPr>
                <w:rFonts w:ascii="Verdana" w:hAnsi="Verdana"/>
                <w:sz w:val="18"/>
                <w:szCs w:val="18"/>
              </w:rPr>
            </w:pPr>
          </w:p>
        </w:tc>
        <w:tc>
          <w:tcPr>
            <w:tcW w:w="960" w:type="dxa"/>
            <w:vAlign w:val="center"/>
          </w:tcPr>
          <w:p w:rsidR="00DD768B" w:rsidRPr="00DD768B" w:rsidRDefault="00DD768B" w:rsidP="00DD768B">
            <w:pPr>
              <w:jc w:val="right"/>
              <w:rPr>
                <w:rFonts w:ascii="Verdana" w:hAnsi="Verdana"/>
                <w:sz w:val="18"/>
                <w:szCs w:val="18"/>
              </w:rPr>
            </w:pPr>
            <w:r w:rsidRPr="00DD768B">
              <w:rPr>
                <w:rFonts w:ascii="Verdana" w:hAnsi="Verdana"/>
                <w:sz w:val="18"/>
                <w:szCs w:val="18"/>
              </w:rPr>
              <w:t>620</w:t>
            </w:r>
          </w:p>
        </w:tc>
      </w:tr>
      <w:tr w:rsidR="00DD768B" w:rsidRPr="00DD768B" w:rsidTr="00121685">
        <w:tc>
          <w:tcPr>
            <w:tcW w:w="1843" w:type="dxa"/>
            <w:vAlign w:val="center"/>
          </w:tcPr>
          <w:p w:rsidR="00DD768B" w:rsidRPr="00DD768B" w:rsidRDefault="00DD768B" w:rsidP="00DD768B">
            <w:pPr>
              <w:rPr>
                <w:rFonts w:ascii="Verdana" w:hAnsi="Verdana"/>
                <w:sz w:val="18"/>
                <w:szCs w:val="18"/>
              </w:rPr>
            </w:pPr>
            <w:r w:rsidRPr="00DD768B">
              <w:rPr>
                <w:rFonts w:ascii="Verdana" w:hAnsi="Verdana"/>
                <w:sz w:val="18"/>
                <w:szCs w:val="18"/>
              </w:rPr>
              <w:t>ALCAR s.r.l. (*)</w:t>
            </w:r>
          </w:p>
        </w:tc>
        <w:tc>
          <w:tcPr>
            <w:tcW w:w="1134" w:type="dxa"/>
            <w:vAlign w:val="center"/>
          </w:tcPr>
          <w:p w:rsidR="00DD768B" w:rsidRPr="00DD768B" w:rsidRDefault="00DD768B" w:rsidP="00DD768B">
            <w:pPr>
              <w:rPr>
                <w:rFonts w:ascii="Verdana" w:hAnsi="Verdana"/>
                <w:sz w:val="18"/>
                <w:szCs w:val="18"/>
              </w:rPr>
            </w:pPr>
            <w:r w:rsidRPr="00DD768B">
              <w:rPr>
                <w:rFonts w:ascii="Verdana" w:hAnsi="Verdana"/>
                <w:sz w:val="18"/>
                <w:szCs w:val="18"/>
              </w:rPr>
              <w:t>Lecce</w:t>
            </w:r>
          </w:p>
        </w:tc>
        <w:tc>
          <w:tcPr>
            <w:tcW w:w="31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Carpenteria pesante</w:t>
            </w:r>
          </w:p>
        </w:tc>
        <w:tc>
          <w:tcPr>
            <w:tcW w:w="14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 xml:space="preserve">CNH </w:t>
            </w:r>
          </w:p>
        </w:tc>
        <w:tc>
          <w:tcPr>
            <w:tcW w:w="960" w:type="dxa"/>
            <w:vAlign w:val="center"/>
          </w:tcPr>
          <w:p w:rsidR="00DD768B" w:rsidRPr="00DD768B" w:rsidRDefault="00DD768B" w:rsidP="00DD768B">
            <w:pPr>
              <w:jc w:val="right"/>
              <w:rPr>
                <w:rFonts w:ascii="Verdana" w:hAnsi="Verdana"/>
                <w:sz w:val="18"/>
                <w:szCs w:val="18"/>
              </w:rPr>
            </w:pPr>
            <w:r w:rsidRPr="00DD768B">
              <w:rPr>
                <w:rFonts w:ascii="Verdana" w:hAnsi="Verdana"/>
                <w:sz w:val="18"/>
                <w:szCs w:val="18"/>
              </w:rPr>
              <w:t>350</w:t>
            </w:r>
          </w:p>
        </w:tc>
      </w:tr>
      <w:tr w:rsidR="00DD768B" w:rsidRPr="00DD768B" w:rsidTr="00121685">
        <w:tc>
          <w:tcPr>
            <w:tcW w:w="1843" w:type="dxa"/>
            <w:vAlign w:val="center"/>
          </w:tcPr>
          <w:p w:rsidR="00DD768B" w:rsidRPr="00DD768B" w:rsidRDefault="00DD768B" w:rsidP="00DD768B">
            <w:pPr>
              <w:rPr>
                <w:rFonts w:ascii="Verdana" w:hAnsi="Verdana"/>
                <w:sz w:val="18"/>
                <w:szCs w:val="18"/>
              </w:rPr>
            </w:pPr>
            <w:r w:rsidRPr="00DD768B">
              <w:rPr>
                <w:rFonts w:ascii="Verdana" w:hAnsi="Verdana"/>
                <w:sz w:val="18"/>
                <w:szCs w:val="18"/>
              </w:rPr>
              <w:t>O.L.C. s.r.l.</w:t>
            </w:r>
          </w:p>
        </w:tc>
        <w:tc>
          <w:tcPr>
            <w:tcW w:w="1134" w:type="dxa"/>
            <w:vAlign w:val="center"/>
          </w:tcPr>
          <w:p w:rsidR="00DD768B" w:rsidRPr="00DD768B" w:rsidRDefault="00DD768B" w:rsidP="00DD768B">
            <w:pPr>
              <w:rPr>
                <w:rFonts w:ascii="Verdana" w:hAnsi="Verdana"/>
                <w:sz w:val="18"/>
                <w:szCs w:val="18"/>
              </w:rPr>
            </w:pPr>
            <w:r w:rsidRPr="00DD768B">
              <w:rPr>
                <w:rFonts w:ascii="Verdana" w:hAnsi="Verdana"/>
                <w:sz w:val="18"/>
                <w:szCs w:val="18"/>
              </w:rPr>
              <w:t>Specchia (Lecce)</w:t>
            </w:r>
          </w:p>
        </w:tc>
        <w:tc>
          <w:tcPr>
            <w:tcW w:w="31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Costruzioni meccaniche e carpenterie meccaniche</w:t>
            </w:r>
          </w:p>
        </w:tc>
        <w:tc>
          <w:tcPr>
            <w:tcW w:w="14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 xml:space="preserve">CNH </w:t>
            </w:r>
          </w:p>
        </w:tc>
        <w:tc>
          <w:tcPr>
            <w:tcW w:w="960" w:type="dxa"/>
            <w:vAlign w:val="center"/>
          </w:tcPr>
          <w:p w:rsidR="00DD768B" w:rsidRPr="00DD768B" w:rsidRDefault="00DD768B" w:rsidP="00DD768B">
            <w:pPr>
              <w:jc w:val="right"/>
              <w:rPr>
                <w:rFonts w:ascii="Verdana" w:hAnsi="Verdana"/>
                <w:sz w:val="18"/>
                <w:szCs w:val="18"/>
              </w:rPr>
            </w:pPr>
            <w:r w:rsidRPr="00DD768B">
              <w:rPr>
                <w:rFonts w:ascii="Verdana" w:hAnsi="Verdana"/>
                <w:sz w:val="18"/>
                <w:szCs w:val="18"/>
              </w:rPr>
              <w:t>90</w:t>
            </w:r>
          </w:p>
        </w:tc>
      </w:tr>
      <w:tr w:rsidR="00DD768B" w:rsidRPr="00DD768B" w:rsidTr="00121685">
        <w:tc>
          <w:tcPr>
            <w:tcW w:w="1843" w:type="dxa"/>
            <w:vAlign w:val="center"/>
          </w:tcPr>
          <w:p w:rsidR="00DD768B" w:rsidRPr="00DD768B" w:rsidRDefault="00DD768B" w:rsidP="00DD768B">
            <w:pPr>
              <w:rPr>
                <w:rFonts w:ascii="Verdana" w:hAnsi="Verdana"/>
                <w:sz w:val="18"/>
                <w:szCs w:val="18"/>
              </w:rPr>
            </w:pPr>
            <w:r w:rsidRPr="00DD768B">
              <w:rPr>
                <w:rFonts w:ascii="Verdana" w:hAnsi="Verdana"/>
                <w:sz w:val="18"/>
                <w:szCs w:val="18"/>
              </w:rPr>
              <w:t>C.P.M. s.n.c.</w:t>
            </w:r>
          </w:p>
        </w:tc>
        <w:tc>
          <w:tcPr>
            <w:tcW w:w="1134" w:type="dxa"/>
            <w:vAlign w:val="center"/>
          </w:tcPr>
          <w:p w:rsidR="00DD768B" w:rsidRPr="00DD768B" w:rsidRDefault="00DD768B" w:rsidP="00DD768B">
            <w:pPr>
              <w:rPr>
                <w:rFonts w:ascii="Verdana" w:hAnsi="Verdana"/>
                <w:sz w:val="18"/>
                <w:szCs w:val="18"/>
              </w:rPr>
            </w:pPr>
            <w:r w:rsidRPr="00DD768B">
              <w:rPr>
                <w:rFonts w:ascii="Verdana" w:hAnsi="Verdana"/>
                <w:sz w:val="18"/>
                <w:szCs w:val="18"/>
              </w:rPr>
              <w:t>Carmiano (Lecce)</w:t>
            </w:r>
          </w:p>
        </w:tc>
        <w:tc>
          <w:tcPr>
            <w:tcW w:w="31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Piccoli componenti meccanici</w:t>
            </w:r>
          </w:p>
        </w:tc>
        <w:tc>
          <w:tcPr>
            <w:tcW w:w="14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 xml:space="preserve">CNH </w:t>
            </w:r>
          </w:p>
        </w:tc>
        <w:tc>
          <w:tcPr>
            <w:tcW w:w="960" w:type="dxa"/>
            <w:vAlign w:val="center"/>
          </w:tcPr>
          <w:p w:rsidR="00DD768B" w:rsidRPr="00DD768B" w:rsidRDefault="00DD768B" w:rsidP="00DD768B">
            <w:pPr>
              <w:jc w:val="right"/>
              <w:rPr>
                <w:rFonts w:ascii="Verdana" w:hAnsi="Verdana"/>
                <w:sz w:val="18"/>
                <w:szCs w:val="18"/>
              </w:rPr>
            </w:pPr>
            <w:r w:rsidRPr="00DD768B">
              <w:rPr>
                <w:rFonts w:ascii="Verdana" w:hAnsi="Verdana"/>
                <w:sz w:val="18"/>
                <w:szCs w:val="18"/>
              </w:rPr>
              <w:t>18</w:t>
            </w:r>
          </w:p>
        </w:tc>
      </w:tr>
      <w:tr w:rsidR="00DD768B" w:rsidRPr="00DD768B" w:rsidTr="00121685">
        <w:tc>
          <w:tcPr>
            <w:tcW w:w="1843" w:type="dxa"/>
            <w:vAlign w:val="center"/>
          </w:tcPr>
          <w:p w:rsidR="00DD768B" w:rsidRPr="00DD768B" w:rsidRDefault="00DD768B" w:rsidP="00DD768B">
            <w:pPr>
              <w:rPr>
                <w:rFonts w:ascii="Verdana" w:hAnsi="Verdana"/>
                <w:sz w:val="18"/>
                <w:szCs w:val="18"/>
              </w:rPr>
            </w:pPr>
            <w:r w:rsidRPr="00DD768B">
              <w:rPr>
                <w:rFonts w:ascii="Verdana" w:hAnsi="Verdana"/>
                <w:sz w:val="18"/>
                <w:szCs w:val="18"/>
              </w:rPr>
              <w:t>LASIM S.p.a.</w:t>
            </w:r>
          </w:p>
        </w:tc>
        <w:tc>
          <w:tcPr>
            <w:tcW w:w="1134" w:type="dxa"/>
            <w:vAlign w:val="center"/>
          </w:tcPr>
          <w:p w:rsidR="00DD768B" w:rsidRPr="00DD768B" w:rsidRDefault="00DD768B" w:rsidP="00DD768B">
            <w:pPr>
              <w:rPr>
                <w:rFonts w:ascii="Verdana" w:hAnsi="Verdana"/>
                <w:sz w:val="18"/>
                <w:szCs w:val="18"/>
              </w:rPr>
            </w:pPr>
            <w:r w:rsidRPr="00DD768B">
              <w:rPr>
                <w:rFonts w:ascii="Verdana" w:hAnsi="Verdana"/>
                <w:sz w:val="18"/>
                <w:szCs w:val="18"/>
              </w:rPr>
              <w:t>Lecce</w:t>
            </w:r>
          </w:p>
        </w:tc>
        <w:tc>
          <w:tcPr>
            <w:tcW w:w="31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Particolari stampati</w:t>
            </w:r>
          </w:p>
        </w:tc>
        <w:tc>
          <w:tcPr>
            <w:tcW w:w="14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FCA</w:t>
            </w:r>
          </w:p>
        </w:tc>
        <w:tc>
          <w:tcPr>
            <w:tcW w:w="960" w:type="dxa"/>
            <w:vAlign w:val="center"/>
          </w:tcPr>
          <w:p w:rsidR="00DD768B" w:rsidRPr="00DD768B" w:rsidRDefault="00DD768B" w:rsidP="00DD768B">
            <w:pPr>
              <w:jc w:val="right"/>
              <w:rPr>
                <w:rFonts w:ascii="Verdana" w:hAnsi="Verdana"/>
                <w:sz w:val="18"/>
                <w:szCs w:val="18"/>
              </w:rPr>
            </w:pPr>
            <w:r w:rsidRPr="00DD768B">
              <w:rPr>
                <w:rFonts w:ascii="Verdana" w:hAnsi="Verdana"/>
                <w:sz w:val="18"/>
                <w:szCs w:val="18"/>
              </w:rPr>
              <w:t>300</w:t>
            </w:r>
          </w:p>
        </w:tc>
      </w:tr>
      <w:tr w:rsidR="00DD768B" w:rsidRPr="00DD768B" w:rsidTr="00121685">
        <w:tc>
          <w:tcPr>
            <w:tcW w:w="1843" w:type="dxa"/>
            <w:vAlign w:val="center"/>
          </w:tcPr>
          <w:p w:rsidR="00DD768B" w:rsidRPr="00DD768B" w:rsidRDefault="00DD768B" w:rsidP="00DD768B">
            <w:pPr>
              <w:rPr>
                <w:rFonts w:ascii="Verdana" w:hAnsi="Verdana"/>
                <w:sz w:val="18"/>
                <w:szCs w:val="18"/>
              </w:rPr>
            </w:pPr>
            <w:r w:rsidRPr="00DD768B">
              <w:rPr>
                <w:rFonts w:ascii="Verdana" w:hAnsi="Verdana"/>
                <w:sz w:val="18"/>
                <w:szCs w:val="18"/>
              </w:rPr>
              <w:t>C.O.G. s.r.l.</w:t>
            </w:r>
          </w:p>
        </w:tc>
        <w:tc>
          <w:tcPr>
            <w:tcW w:w="1134" w:type="dxa"/>
            <w:vAlign w:val="center"/>
          </w:tcPr>
          <w:p w:rsidR="00DD768B" w:rsidRPr="00DD768B" w:rsidRDefault="00DD768B" w:rsidP="00DD768B">
            <w:pPr>
              <w:rPr>
                <w:rFonts w:ascii="Verdana" w:hAnsi="Verdana"/>
                <w:sz w:val="18"/>
                <w:szCs w:val="18"/>
              </w:rPr>
            </w:pPr>
            <w:r w:rsidRPr="00DD768B">
              <w:rPr>
                <w:rFonts w:ascii="Verdana" w:hAnsi="Verdana"/>
                <w:sz w:val="18"/>
                <w:szCs w:val="18"/>
              </w:rPr>
              <w:t>Lecce</w:t>
            </w:r>
          </w:p>
        </w:tc>
        <w:tc>
          <w:tcPr>
            <w:tcW w:w="31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Produzioni radiatori ad acqua</w:t>
            </w:r>
          </w:p>
        </w:tc>
        <w:tc>
          <w:tcPr>
            <w:tcW w:w="1419" w:type="dxa"/>
            <w:vAlign w:val="center"/>
          </w:tcPr>
          <w:p w:rsidR="00DD768B" w:rsidRPr="00DD768B" w:rsidRDefault="00DD768B" w:rsidP="00DD768B">
            <w:pPr>
              <w:rPr>
                <w:rFonts w:ascii="Verdana" w:hAnsi="Verdana"/>
                <w:sz w:val="18"/>
                <w:szCs w:val="18"/>
              </w:rPr>
            </w:pPr>
            <w:r w:rsidRPr="00DD768B">
              <w:rPr>
                <w:rFonts w:ascii="Verdana" w:hAnsi="Verdana"/>
                <w:sz w:val="18"/>
                <w:szCs w:val="18"/>
              </w:rPr>
              <w:t>FCA</w:t>
            </w:r>
          </w:p>
        </w:tc>
        <w:tc>
          <w:tcPr>
            <w:tcW w:w="960" w:type="dxa"/>
            <w:vAlign w:val="center"/>
          </w:tcPr>
          <w:p w:rsidR="00DD768B" w:rsidRPr="00DD768B" w:rsidRDefault="00DD768B" w:rsidP="00DD768B">
            <w:pPr>
              <w:jc w:val="right"/>
              <w:rPr>
                <w:rFonts w:ascii="Verdana" w:hAnsi="Verdana"/>
                <w:sz w:val="18"/>
                <w:szCs w:val="18"/>
              </w:rPr>
            </w:pPr>
            <w:r w:rsidRPr="00DD768B">
              <w:rPr>
                <w:rFonts w:ascii="Verdana" w:hAnsi="Verdana"/>
                <w:sz w:val="18"/>
                <w:szCs w:val="18"/>
              </w:rPr>
              <w:t>100</w:t>
            </w:r>
          </w:p>
        </w:tc>
      </w:tr>
      <w:tr w:rsidR="00DD768B" w:rsidRPr="00DD768B" w:rsidTr="00121685">
        <w:tc>
          <w:tcPr>
            <w:tcW w:w="1843" w:type="dxa"/>
            <w:vAlign w:val="center"/>
          </w:tcPr>
          <w:p w:rsidR="00DD768B" w:rsidRPr="00DD768B" w:rsidRDefault="00DD768B" w:rsidP="00DD768B">
            <w:pPr>
              <w:rPr>
                <w:rFonts w:ascii="Verdana" w:hAnsi="Verdana"/>
                <w:sz w:val="18"/>
                <w:szCs w:val="18"/>
              </w:rPr>
            </w:pPr>
            <w:r w:rsidRPr="00DD768B">
              <w:rPr>
                <w:rFonts w:ascii="Verdana" w:hAnsi="Verdana"/>
                <w:sz w:val="18"/>
                <w:szCs w:val="18"/>
              </w:rPr>
              <w:t>Totale addetti</w:t>
            </w:r>
          </w:p>
        </w:tc>
        <w:tc>
          <w:tcPr>
            <w:tcW w:w="1134" w:type="dxa"/>
            <w:vAlign w:val="center"/>
          </w:tcPr>
          <w:p w:rsidR="00DD768B" w:rsidRPr="00DD768B" w:rsidRDefault="00DD768B" w:rsidP="00DD768B">
            <w:pPr>
              <w:rPr>
                <w:rFonts w:ascii="Verdana" w:hAnsi="Verdana"/>
                <w:sz w:val="18"/>
                <w:szCs w:val="18"/>
              </w:rPr>
            </w:pPr>
          </w:p>
        </w:tc>
        <w:tc>
          <w:tcPr>
            <w:tcW w:w="3119" w:type="dxa"/>
            <w:vAlign w:val="center"/>
          </w:tcPr>
          <w:p w:rsidR="00DD768B" w:rsidRPr="00DD768B" w:rsidRDefault="00DD768B" w:rsidP="00DD768B">
            <w:pPr>
              <w:rPr>
                <w:rFonts w:ascii="Verdana" w:hAnsi="Verdana"/>
                <w:sz w:val="18"/>
                <w:szCs w:val="18"/>
              </w:rPr>
            </w:pPr>
          </w:p>
        </w:tc>
        <w:tc>
          <w:tcPr>
            <w:tcW w:w="1419" w:type="dxa"/>
            <w:vAlign w:val="center"/>
          </w:tcPr>
          <w:p w:rsidR="00DD768B" w:rsidRPr="00DD768B" w:rsidRDefault="00DD768B" w:rsidP="00DD768B">
            <w:pPr>
              <w:rPr>
                <w:rFonts w:ascii="Verdana" w:hAnsi="Verdana"/>
                <w:sz w:val="18"/>
                <w:szCs w:val="18"/>
              </w:rPr>
            </w:pPr>
          </w:p>
        </w:tc>
        <w:tc>
          <w:tcPr>
            <w:tcW w:w="960" w:type="dxa"/>
            <w:vAlign w:val="center"/>
          </w:tcPr>
          <w:p w:rsidR="00DD768B" w:rsidRPr="00DD768B" w:rsidRDefault="00DD768B" w:rsidP="00DD768B">
            <w:pPr>
              <w:jc w:val="right"/>
              <w:rPr>
                <w:rFonts w:ascii="Verdana" w:hAnsi="Verdana"/>
                <w:sz w:val="18"/>
                <w:szCs w:val="18"/>
              </w:rPr>
            </w:pPr>
            <w:r w:rsidRPr="00DD768B">
              <w:rPr>
                <w:rFonts w:ascii="Verdana" w:hAnsi="Verdana"/>
                <w:sz w:val="18"/>
                <w:szCs w:val="18"/>
              </w:rPr>
              <w:t>1.478</w:t>
            </w:r>
          </w:p>
        </w:tc>
      </w:tr>
    </w:tbl>
    <w:p w:rsidR="00DD768B" w:rsidRPr="00DD768B" w:rsidRDefault="00DD768B" w:rsidP="00DD768B">
      <w:pPr>
        <w:spacing w:after="0" w:line="360" w:lineRule="auto"/>
        <w:jc w:val="both"/>
        <w:rPr>
          <w:rFonts w:ascii="Verdana" w:eastAsiaTheme="minorEastAsia" w:hAnsi="Verdana"/>
          <w:sz w:val="18"/>
          <w:szCs w:val="18"/>
          <w:lang w:eastAsia="it-IT"/>
        </w:rPr>
      </w:pPr>
      <w:r w:rsidRPr="00DD768B">
        <w:rPr>
          <w:rFonts w:ascii="Verdana" w:eastAsiaTheme="minorEastAsia" w:hAnsi="Verdana"/>
          <w:i/>
          <w:sz w:val="18"/>
          <w:szCs w:val="18"/>
          <w:lang w:eastAsia="it-IT"/>
        </w:rPr>
        <w:t>Fonte</w:t>
      </w:r>
      <w:r w:rsidRPr="00DD768B">
        <w:rPr>
          <w:rFonts w:ascii="Verdana" w:eastAsiaTheme="minorEastAsia" w:hAnsi="Verdana"/>
          <w:sz w:val="18"/>
          <w:szCs w:val="18"/>
          <w:lang w:eastAsia="it-IT"/>
        </w:rPr>
        <w:t>: ns. indagine diretta. (*) Ampio ricorso agli ammortizzatori sociali.</w:t>
      </w:r>
    </w:p>
    <w:p w:rsidR="00DD768B" w:rsidRPr="00DD768B" w:rsidRDefault="00DD768B" w:rsidP="00DD768B">
      <w:pPr>
        <w:spacing w:after="0" w:line="240" w:lineRule="auto"/>
        <w:rPr>
          <w:rFonts w:eastAsiaTheme="minorEastAsia"/>
          <w:sz w:val="24"/>
          <w:szCs w:val="24"/>
          <w:lang w:eastAsia="it-IT"/>
        </w:rPr>
      </w:pPr>
    </w:p>
    <w:p w:rsidR="00CE5EA3" w:rsidRDefault="00E41C4E" w:rsidP="00E41C4E">
      <w:pPr>
        <w:autoSpaceDE w:val="0"/>
        <w:autoSpaceDN w:val="0"/>
        <w:adjustRightInd w:val="0"/>
        <w:spacing w:after="0" w:line="240" w:lineRule="auto"/>
      </w:pPr>
      <w:r w:rsidRPr="00E41C4E">
        <w:tab/>
      </w:r>
      <w:r w:rsidRPr="00E41C4E">
        <w:tab/>
      </w:r>
      <w:r w:rsidRPr="00E41C4E">
        <w:tab/>
      </w:r>
      <w:r w:rsidRPr="00E41C4E">
        <w:tab/>
      </w:r>
      <w:r w:rsidRPr="00E41C4E">
        <w:tab/>
      </w:r>
      <w:r w:rsidRPr="00E41C4E">
        <w:tab/>
      </w:r>
      <w:r w:rsidRPr="00E41C4E">
        <w:tab/>
      </w:r>
      <w:r w:rsidRPr="00E41C4E">
        <w:tab/>
      </w:r>
      <w:r w:rsidRPr="00E41C4E">
        <w:tab/>
      </w:r>
      <w:r w:rsidRPr="00E41C4E">
        <w:tab/>
      </w:r>
      <w:r w:rsidRPr="00E41C4E">
        <w:tab/>
      </w:r>
      <w:r w:rsidRPr="00E41C4E">
        <w:tab/>
      </w:r>
    </w:p>
    <w:p w:rsidR="00E41C4E" w:rsidRPr="00E41C4E" w:rsidRDefault="00E41C4E" w:rsidP="00E41C4E">
      <w:pPr>
        <w:autoSpaceDE w:val="0"/>
        <w:autoSpaceDN w:val="0"/>
        <w:adjustRightInd w:val="0"/>
        <w:spacing w:after="0" w:line="240" w:lineRule="auto"/>
        <w:rPr>
          <w:rFonts w:ascii="Tahoma" w:hAnsi="Tahoma" w:cs="Tahoma"/>
          <w:color w:val="000000"/>
          <w:sz w:val="16"/>
          <w:szCs w:val="16"/>
        </w:rPr>
      </w:pPr>
      <w:r>
        <w:t xml:space="preserve">                          </w:t>
      </w:r>
    </w:p>
    <w:sectPr w:rsidR="00E41C4E" w:rsidRPr="00E41C4E" w:rsidSect="00675BB1">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F9" w:rsidRDefault="000F48F9" w:rsidP="00DD768B">
      <w:pPr>
        <w:spacing w:after="0" w:line="240" w:lineRule="auto"/>
      </w:pPr>
      <w:r>
        <w:separator/>
      </w:r>
    </w:p>
  </w:endnote>
  <w:endnote w:type="continuationSeparator" w:id="0">
    <w:p w:rsidR="000F48F9" w:rsidRDefault="000F48F9" w:rsidP="00DD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F9" w:rsidRDefault="000F48F9" w:rsidP="00DD768B">
      <w:pPr>
        <w:spacing w:after="0" w:line="240" w:lineRule="auto"/>
      </w:pPr>
      <w:r>
        <w:separator/>
      </w:r>
    </w:p>
  </w:footnote>
  <w:footnote w:type="continuationSeparator" w:id="0">
    <w:p w:rsidR="000F48F9" w:rsidRDefault="000F48F9" w:rsidP="00DD768B">
      <w:pPr>
        <w:spacing w:after="0" w:line="240" w:lineRule="auto"/>
      </w:pPr>
      <w:r>
        <w:continuationSeparator/>
      </w:r>
    </w:p>
  </w:footnote>
  <w:footnote w:id="1">
    <w:p w:rsidR="00DD768B" w:rsidRPr="00763D1B" w:rsidRDefault="00DD768B" w:rsidP="00DD768B">
      <w:pPr>
        <w:pStyle w:val="Testonotaapidipagina"/>
        <w:spacing w:line="360" w:lineRule="auto"/>
        <w:ind w:firstLine="284"/>
        <w:jc w:val="both"/>
        <w:rPr>
          <w:rFonts w:ascii="Verdana" w:hAnsi="Verdana"/>
          <w:sz w:val="18"/>
          <w:szCs w:val="18"/>
        </w:rPr>
      </w:pPr>
      <w:r w:rsidRPr="00763D1B">
        <w:rPr>
          <w:rStyle w:val="Rimandonotaapidipagina"/>
          <w:rFonts w:ascii="Verdana" w:hAnsi="Verdana"/>
          <w:sz w:val="18"/>
          <w:szCs w:val="18"/>
        </w:rPr>
        <w:footnoteRef/>
      </w:r>
      <w:r w:rsidRPr="00763D1B">
        <w:rPr>
          <w:rFonts w:ascii="Verdana" w:hAnsi="Verdana"/>
          <w:sz w:val="18"/>
          <w:szCs w:val="18"/>
        </w:rPr>
        <w:t xml:space="preserve"> In occasione dell’ultimo rinnovo la FIOM CGIL non ha apposto la propria firma al rinnovo dell’accordo per l’assenza di garanzie adeguate sul piano della garanzia occupazionale.</w:t>
      </w:r>
    </w:p>
  </w:footnote>
  <w:footnote w:id="2">
    <w:p w:rsidR="00DD768B" w:rsidRPr="00763D1B" w:rsidRDefault="00DD768B" w:rsidP="00DD768B">
      <w:pPr>
        <w:pStyle w:val="Testonotaapidipagina"/>
        <w:spacing w:line="360" w:lineRule="auto"/>
        <w:ind w:firstLine="284"/>
        <w:jc w:val="both"/>
        <w:rPr>
          <w:rFonts w:ascii="Verdana" w:hAnsi="Verdana"/>
          <w:sz w:val="18"/>
          <w:szCs w:val="18"/>
        </w:rPr>
      </w:pPr>
      <w:r w:rsidRPr="00763D1B">
        <w:rPr>
          <w:rStyle w:val="Rimandonotaapidipagina"/>
          <w:rFonts w:ascii="Verdana" w:hAnsi="Verdana"/>
          <w:sz w:val="18"/>
          <w:szCs w:val="18"/>
        </w:rPr>
        <w:footnoteRef/>
      </w:r>
      <w:r w:rsidRPr="00763D1B">
        <w:rPr>
          <w:rFonts w:ascii="Verdana" w:hAnsi="Verdana"/>
          <w:sz w:val="18"/>
          <w:szCs w:val="18"/>
        </w:rPr>
        <w:t xml:space="preserve"> È il caso della BRODEVANI, azienda di Bergamo, che ha in provincia di Bari uno stabilimento; l’azienda ha poi ripreso e riarticolato le sue produzioni su prodotti alternativi.</w:t>
      </w:r>
    </w:p>
  </w:footnote>
  <w:footnote w:id="3">
    <w:p w:rsidR="00DD768B" w:rsidRPr="00763D1B" w:rsidRDefault="00DD768B" w:rsidP="00DD768B">
      <w:pPr>
        <w:pStyle w:val="Testonotaapidipagina"/>
        <w:spacing w:line="360" w:lineRule="auto"/>
        <w:ind w:firstLine="284"/>
        <w:jc w:val="both"/>
        <w:rPr>
          <w:rFonts w:ascii="Verdana" w:hAnsi="Verdana"/>
          <w:sz w:val="18"/>
          <w:szCs w:val="18"/>
        </w:rPr>
      </w:pPr>
      <w:r w:rsidRPr="00763D1B">
        <w:rPr>
          <w:rStyle w:val="Rimandonotaapidipagina"/>
          <w:rFonts w:ascii="Verdana" w:hAnsi="Verdana"/>
          <w:sz w:val="18"/>
          <w:szCs w:val="18"/>
        </w:rPr>
        <w:footnoteRef/>
      </w:r>
      <w:r w:rsidRPr="00763D1B">
        <w:rPr>
          <w:rFonts w:ascii="Verdana" w:hAnsi="Verdana"/>
          <w:sz w:val="18"/>
          <w:szCs w:val="18"/>
        </w:rPr>
        <w:t xml:space="preserve"> Va segnalato piuttosto come negli ultimi anni sia aumentato il caso di impianti e macchinari usati provenienti dagli stabilimenti tedeschi della BOS</w:t>
      </w:r>
      <w:r>
        <w:rPr>
          <w:rFonts w:ascii="Verdana" w:hAnsi="Verdana"/>
          <w:sz w:val="18"/>
          <w:szCs w:val="18"/>
        </w:rPr>
        <w:t>C</w:t>
      </w:r>
      <w:r w:rsidRPr="00763D1B">
        <w:rPr>
          <w:rFonts w:ascii="Verdana" w:hAnsi="Verdana"/>
          <w:sz w:val="18"/>
          <w:szCs w:val="18"/>
        </w:rPr>
        <w:t>H.</w:t>
      </w:r>
    </w:p>
  </w:footnote>
  <w:footnote w:id="4">
    <w:p w:rsidR="00DD768B" w:rsidRPr="00763D1B" w:rsidRDefault="00DD768B" w:rsidP="00DD768B">
      <w:pPr>
        <w:spacing w:line="360" w:lineRule="auto"/>
        <w:ind w:firstLine="284"/>
        <w:jc w:val="both"/>
        <w:rPr>
          <w:rFonts w:ascii="Verdana" w:hAnsi="Verdana"/>
          <w:sz w:val="18"/>
          <w:szCs w:val="18"/>
        </w:rPr>
      </w:pPr>
      <w:r w:rsidRPr="00763D1B">
        <w:rPr>
          <w:rStyle w:val="Rimandonotaapidipagina"/>
          <w:rFonts w:ascii="Verdana" w:hAnsi="Verdana"/>
          <w:sz w:val="18"/>
          <w:szCs w:val="18"/>
        </w:rPr>
        <w:footnoteRef/>
      </w:r>
      <w:r w:rsidRPr="00763D1B">
        <w:rPr>
          <w:rFonts w:ascii="Verdana" w:hAnsi="Verdana"/>
          <w:sz w:val="18"/>
          <w:szCs w:val="18"/>
        </w:rPr>
        <w:t xml:space="preserve"> In questo quadro la decisione dell’azienda di mettere a disposizione tra i 20 e i 30 milioni per l’incentivo alla mobilità volontaria non rappresenta un presupposto nella direzione di maggiori investimenti. </w:t>
      </w:r>
    </w:p>
  </w:footnote>
  <w:footnote w:id="5">
    <w:p w:rsidR="00DD768B" w:rsidRPr="00763D1B" w:rsidRDefault="00DD768B" w:rsidP="00DD768B">
      <w:pPr>
        <w:pStyle w:val="Testonotaapidipagina"/>
        <w:spacing w:line="360" w:lineRule="auto"/>
        <w:ind w:firstLine="284"/>
        <w:jc w:val="both"/>
        <w:rPr>
          <w:rFonts w:ascii="Verdana" w:hAnsi="Verdana"/>
          <w:sz w:val="18"/>
          <w:szCs w:val="18"/>
        </w:rPr>
      </w:pPr>
      <w:r w:rsidRPr="00763D1B">
        <w:rPr>
          <w:rStyle w:val="Rimandonotaapidipagina"/>
          <w:rFonts w:ascii="Verdana" w:hAnsi="Verdana"/>
          <w:sz w:val="18"/>
          <w:szCs w:val="18"/>
        </w:rPr>
        <w:footnoteRef/>
      </w:r>
      <w:r w:rsidRPr="00763D1B">
        <w:rPr>
          <w:rFonts w:ascii="Verdana" w:hAnsi="Verdana"/>
          <w:sz w:val="18"/>
          <w:szCs w:val="18"/>
        </w:rPr>
        <w:t xml:space="preserve"> In questa direzione l’abbandono della divisione freni e le produzioni localizzate in Repubblica Ceca dove è in produzione un tipo nuova di pompa hanno contribuito al calo produttivo dello stabilimento, anche se in un primo momento il trasferimento verso la Repubblica Ceca era coinciso con un aumento dei volumi di produzione della pompa per i motori Euro5.</w:t>
      </w:r>
    </w:p>
  </w:footnote>
  <w:footnote w:id="6">
    <w:p w:rsidR="00DD768B" w:rsidRPr="00763D1B" w:rsidRDefault="00DD768B" w:rsidP="00DD768B">
      <w:pPr>
        <w:pStyle w:val="Testonotaapidipagina"/>
        <w:spacing w:line="360" w:lineRule="auto"/>
        <w:ind w:firstLine="284"/>
        <w:jc w:val="both"/>
        <w:rPr>
          <w:rFonts w:ascii="Verdana" w:hAnsi="Verdana"/>
          <w:sz w:val="18"/>
          <w:szCs w:val="18"/>
        </w:rPr>
      </w:pPr>
      <w:r w:rsidRPr="00763D1B">
        <w:rPr>
          <w:rStyle w:val="Rimandonotaapidipagina"/>
          <w:rFonts w:ascii="Verdana" w:hAnsi="Verdana"/>
          <w:sz w:val="18"/>
          <w:szCs w:val="18"/>
        </w:rPr>
        <w:footnoteRef/>
      </w:r>
      <w:r w:rsidRPr="00763D1B">
        <w:rPr>
          <w:rFonts w:ascii="Verdana" w:hAnsi="Verdana"/>
          <w:sz w:val="18"/>
          <w:szCs w:val="18"/>
        </w:rPr>
        <w:t xml:space="preserve"> Si tratta in quest’ultimo caso di un prodotto in produzione dal 1996 che avrebbe dovuto terminare la produzione nel 2006, ma che ha trovato un rinnova e crescente domanda nel mercato cinese e asiatico in particolare. Va osservato che mentre VW monta per i suoi motori 1.200/1.400 di cilindrata gli iniettori Marelli, FCA si rifornisce da BOSCH per le stesse cilindrate.</w:t>
      </w:r>
    </w:p>
  </w:footnote>
  <w:footnote w:id="7">
    <w:p w:rsidR="00DD768B" w:rsidRDefault="00DD768B" w:rsidP="00DD768B">
      <w:pPr>
        <w:pStyle w:val="Testonotaapidipagina"/>
        <w:spacing w:line="360" w:lineRule="auto"/>
        <w:ind w:firstLine="284"/>
        <w:jc w:val="both"/>
        <w:rPr>
          <w:rFonts w:ascii="Verdana" w:hAnsi="Verdana"/>
          <w:sz w:val="18"/>
          <w:szCs w:val="18"/>
        </w:rPr>
      </w:pPr>
      <w:r w:rsidRPr="00763D1B">
        <w:rPr>
          <w:rStyle w:val="Rimandonotaapidipagina"/>
          <w:rFonts w:ascii="Verdana" w:hAnsi="Verdana"/>
          <w:sz w:val="18"/>
          <w:szCs w:val="18"/>
        </w:rPr>
        <w:footnoteRef/>
      </w:r>
      <w:r w:rsidRPr="00763D1B">
        <w:rPr>
          <w:rFonts w:ascii="Verdana" w:hAnsi="Verdana"/>
          <w:sz w:val="18"/>
          <w:szCs w:val="18"/>
        </w:rPr>
        <w:t xml:space="preserve"> Nel corso degli anni l’azienda ha provveduto a reclutare sul mercato del lavoro locale attraverso il Politecnico di Bari all’assunzione di ingegneri da impiegare presso il suo centro ricerche in Germania.</w:t>
      </w:r>
    </w:p>
    <w:p w:rsidR="00B71C0B" w:rsidRDefault="00B71C0B" w:rsidP="00DD768B">
      <w:pPr>
        <w:pStyle w:val="Testonotaapidipagina"/>
        <w:spacing w:line="360" w:lineRule="auto"/>
        <w:ind w:firstLine="284"/>
        <w:jc w:val="both"/>
        <w:rPr>
          <w:rFonts w:ascii="Verdana" w:hAnsi="Verdana"/>
          <w:sz w:val="18"/>
          <w:szCs w:val="18"/>
        </w:rPr>
      </w:pPr>
    </w:p>
    <w:p w:rsidR="00B71C0B" w:rsidRDefault="00B71C0B" w:rsidP="00DD768B">
      <w:pPr>
        <w:pStyle w:val="Testonotaapidipagina"/>
        <w:spacing w:line="360" w:lineRule="auto"/>
        <w:ind w:firstLine="284"/>
        <w:jc w:val="both"/>
        <w:rPr>
          <w:rFonts w:ascii="Verdana" w:hAnsi="Verdana"/>
          <w:sz w:val="18"/>
          <w:szCs w:val="18"/>
        </w:rPr>
      </w:pPr>
    </w:p>
    <w:p w:rsidR="00B71C0B" w:rsidRDefault="00B71C0B" w:rsidP="00DD768B">
      <w:pPr>
        <w:pStyle w:val="Testonotaapidipagina"/>
        <w:spacing w:line="360" w:lineRule="auto"/>
        <w:ind w:firstLine="284"/>
        <w:jc w:val="both"/>
        <w:rPr>
          <w:rFonts w:ascii="Verdana" w:hAnsi="Verdana"/>
          <w:sz w:val="18"/>
          <w:szCs w:val="18"/>
        </w:rPr>
      </w:pPr>
    </w:p>
    <w:p w:rsidR="00B71C0B" w:rsidRDefault="00B71C0B" w:rsidP="00DD768B">
      <w:pPr>
        <w:pStyle w:val="Testonotaapidipagina"/>
        <w:spacing w:line="360" w:lineRule="auto"/>
        <w:ind w:firstLine="284"/>
        <w:jc w:val="both"/>
        <w:rPr>
          <w:rFonts w:ascii="Verdana" w:hAnsi="Verdana"/>
          <w:sz w:val="18"/>
          <w:szCs w:val="18"/>
        </w:rPr>
      </w:pPr>
    </w:p>
    <w:p w:rsidR="00B71C0B" w:rsidRDefault="00B71C0B" w:rsidP="00DD768B">
      <w:pPr>
        <w:pStyle w:val="Testonotaapidipagina"/>
        <w:spacing w:line="360" w:lineRule="auto"/>
        <w:ind w:firstLine="284"/>
        <w:jc w:val="both"/>
        <w:rPr>
          <w:rFonts w:ascii="Verdana" w:hAnsi="Verdana"/>
          <w:sz w:val="18"/>
          <w:szCs w:val="18"/>
        </w:rPr>
      </w:pPr>
    </w:p>
    <w:p w:rsidR="00B71C0B" w:rsidRPr="00763D1B" w:rsidRDefault="00B71C0B" w:rsidP="00DD768B">
      <w:pPr>
        <w:pStyle w:val="Testonotaapidipagina"/>
        <w:spacing w:line="360" w:lineRule="auto"/>
        <w:ind w:firstLine="284"/>
        <w:jc w:val="both"/>
        <w:rPr>
          <w:rFonts w:ascii="Verdana" w:hAnsi="Verdana"/>
          <w:sz w:val="18"/>
          <w:szCs w:val="18"/>
        </w:rPr>
      </w:pPr>
    </w:p>
  </w:footnote>
  <w:footnote w:id="8">
    <w:p w:rsidR="00DD768B" w:rsidRPr="00CA2A24" w:rsidRDefault="00DD768B" w:rsidP="00DD768B">
      <w:pPr>
        <w:pStyle w:val="Testonotaapidipagina"/>
        <w:spacing w:line="360" w:lineRule="auto"/>
        <w:ind w:firstLine="284"/>
        <w:jc w:val="both"/>
        <w:rPr>
          <w:rStyle w:val="Nessuno"/>
          <w:rFonts w:ascii="Verdana" w:hAnsi="Verdana"/>
          <w:sz w:val="18"/>
          <w:szCs w:val="18"/>
        </w:rPr>
      </w:pPr>
      <w:r w:rsidRPr="00CA2A24">
        <w:rPr>
          <w:rStyle w:val="Rimandonotaapidipagina"/>
          <w:rFonts w:ascii="Verdana" w:hAnsi="Verdana"/>
          <w:sz w:val="18"/>
          <w:szCs w:val="18"/>
        </w:rPr>
        <w:footnoteRef/>
      </w:r>
      <w:r w:rsidRPr="00CA2A24">
        <w:rPr>
          <w:rFonts w:ascii="Verdana" w:hAnsi="Verdana"/>
          <w:sz w:val="18"/>
          <w:szCs w:val="18"/>
        </w:rPr>
        <w:t xml:space="preserve"> Va osservato che nel 2008 i dipendenti dello stabilimento erano comunque 2.100. Di recente s</w:t>
      </w:r>
      <w:r w:rsidRPr="00CA2A24">
        <w:rPr>
          <w:rStyle w:val="Nessuno"/>
          <w:rFonts w:ascii="Verdana" w:hAnsi="Verdana"/>
          <w:sz w:val="18"/>
          <w:szCs w:val="18"/>
        </w:rPr>
        <w:t xml:space="preserve">ono stati   stabilizzati mediante il ricorso alla nuova formulazione del contratto  a tempo indeterminato 79 lavoratori, di cui 44 a 40 ore e 35 a 16 ore.. </w:t>
      </w:r>
    </w:p>
    <w:p w:rsidR="00DD768B" w:rsidRPr="00B8219D" w:rsidRDefault="00DD768B" w:rsidP="00DD768B">
      <w:pPr>
        <w:pStyle w:val="Testonotaapidipagina"/>
        <w:spacing w:line="360" w:lineRule="auto"/>
        <w:ind w:firstLine="284"/>
        <w:jc w:val="both"/>
        <w:rPr>
          <w:rFonts w:ascii="Verdana" w:hAnsi="Verdana"/>
          <w:sz w:val="18"/>
          <w:szCs w:val="18"/>
        </w:rPr>
      </w:pPr>
      <w:r w:rsidRPr="00B8219D">
        <w:rPr>
          <w:rFonts w:ascii="Verdana" w:hAnsi="Verdana"/>
          <w:sz w:val="18"/>
          <w:szCs w:val="18"/>
        </w:rPr>
        <w:t xml:space="preserve">Per ulteriori approfondimenti sugli stabilimenti di FCA e CNH in Puglia rimandiamo al rapporto </w:t>
      </w:r>
      <w:proofErr w:type="spellStart"/>
      <w:r w:rsidRPr="00B8219D">
        <w:rPr>
          <w:rFonts w:ascii="Verdana" w:hAnsi="Verdana"/>
          <w:sz w:val="18"/>
          <w:szCs w:val="18"/>
        </w:rPr>
        <w:t>Radiografiat</w:t>
      </w:r>
      <w:proofErr w:type="spellEnd"/>
      <w:r w:rsidRPr="00B8219D">
        <w:rPr>
          <w:rFonts w:ascii="Verdana" w:hAnsi="Verdana"/>
          <w:sz w:val="18"/>
          <w:szCs w:val="18"/>
        </w:rPr>
        <w:t xml:space="preserve">. Indagine nazionale della </w:t>
      </w:r>
      <w:proofErr w:type="spellStart"/>
      <w:r w:rsidRPr="00B8219D">
        <w:rPr>
          <w:rFonts w:ascii="Verdana" w:hAnsi="Verdana"/>
          <w:sz w:val="18"/>
          <w:szCs w:val="18"/>
        </w:rPr>
        <w:t>Fiom</w:t>
      </w:r>
      <w:proofErr w:type="spellEnd"/>
      <w:r w:rsidRPr="00B8219D">
        <w:rPr>
          <w:rFonts w:ascii="Verdana" w:hAnsi="Verdana"/>
          <w:sz w:val="18"/>
          <w:szCs w:val="18"/>
        </w:rPr>
        <w:t xml:space="preserve"> Cgil sugli stabilimenti italiani dei gruppi FCA e CNH Industrial, aprile 2014 (a cura di Davide </w:t>
      </w:r>
      <w:proofErr w:type="spellStart"/>
      <w:r w:rsidRPr="00B8219D">
        <w:rPr>
          <w:rFonts w:ascii="Verdana" w:hAnsi="Verdana"/>
          <w:sz w:val="18"/>
          <w:szCs w:val="18"/>
        </w:rPr>
        <w:t>Bubbico</w:t>
      </w:r>
      <w:proofErr w:type="spellEnd"/>
      <w:r w:rsidRPr="00B8219D">
        <w:rPr>
          <w:rFonts w:ascii="Verdana" w:hAnsi="Verdana"/>
          <w:sz w:val="18"/>
          <w:szCs w:val="18"/>
        </w:rPr>
        <w:t>), rapporto scaricabile all’indirizzo: http://www.fiom-cgil.it/web/attachments/article/1464/RADIOGRAFIAT-TOT.pdf</w:t>
      </w:r>
    </w:p>
  </w:footnote>
  <w:footnote w:id="9">
    <w:p w:rsidR="00DD768B" w:rsidRPr="00763D1B" w:rsidRDefault="00DD768B" w:rsidP="00DD768B">
      <w:pPr>
        <w:pStyle w:val="Testonotaapidipagina"/>
        <w:spacing w:line="360" w:lineRule="auto"/>
        <w:ind w:firstLine="284"/>
        <w:jc w:val="both"/>
        <w:rPr>
          <w:rFonts w:ascii="Verdana" w:hAnsi="Verdana"/>
          <w:sz w:val="18"/>
          <w:szCs w:val="18"/>
        </w:rPr>
      </w:pPr>
      <w:r w:rsidRPr="00763D1B">
        <w:rPr>
          <w:rStyle w:val="Rimandonotaapidipagina"/>
          <w:rFonts w:ascii="Verdana" w:hAnsi="Verdana"/>
          <w:sz w:val="18"/>
          <w:szCs w:val="18"/>
        </w:rPr>
        <w:footnoteRef/>
      </w:r>
      <w:r w:rsidRPr="00763D1B">
        <w:rPr>
          <w:rFonts w:ascii="Verdana" w:hAnsi="Verdana"/>
          <w:sz w:val="18"/>
          <w:szCs w:val="18"/>
        </w:rPr>
        <w:t xml:space="preserve"> Si tratta di 23 operai, 8 impiegati, 7 ingegneri e un dirigente. In questa area non si applica il WCM; questa unità ha visto inoltre corrispondersi per l’anno 2015 il bonus aziendale a differenza del resto dei dipendenti del sito, che insieme allo stabilimento di Piacenza, sono gli unici a non averlo percepito tra gli stabilimenti FCA e CNH Industrial.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4E"/>
    <w:rsid w:val="000F48F9"/>
    <w:rsid w:val="00235CE4"/>
    <w:rsid w:val="00436741"/>
    <w:rsid w:val="004B68B7"/>
    <w:rsid w:val="0055625B"/>
    <w:rsid w:val="00675BB1"/>
    <w:rsid w:val="00AD5BDE"/>
    <w:rsid w:val="00B22388"/>
    <w:rsid w:val="00B71C0B"/>
    <w:rsid w:val="00CE5EA3"/>
    <w:rsid w:val="00DD768B"/>
    <w:rsid w:val="00E21F0E"/>
    <w:rsid w:val="00E330FB"/>
    <w:rsid w:val="00E41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7">
    <w:name w:val="heading 7"/>
    <w:basedOn w:val="Normale"/>
    <w:next w:val="Normale"/>
    <w:link w:val="Titolo7Carattere"/>
    <w:uiPriority w:val="9"/>
    <w:semiHidden/>
    <w:unhideWhenUsed/>
    <w:qFormat/>
    <w:rsid w:val="004B68B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1C4E"/>
    <w:rPr>
      <w:rFonts w:ascii="Tahoma" w:hAnsi="Tahoma" w:cs="Tahoma"/>
      <w:sz w:val="16"/>
      <w:szCs w:val="16"/>
    </w:rPr>
  </w:style>
  <w:style w:type="character" w:customStyle="1" w:styleId="Titolo7Carattere">
    <w:name w:val="Titolo 7 Carattere"/>
    <w:basedOn w:val="Carpredefinitoparagrafo"/>
    <w:link w:val="Titolo7"/>
    <w:uiPriority w:val="9"/>
    <w:semiHidden/>
    <w:rsid w:val="004B68B7"/>
    <w:rPr>
      <w:rFonts w:asciiTheme="majorHAnsi" w:eastAsiaTheme="majorEastAsia" w:hAnsiTheme="majorHAnsi" w:cstheme="majorBidi"/>
      <w:i/>
      <w:iCs/>
      <w:color w:val="404040" w:themeColor="text1" w:themeTint="BF"/>
    </w:rPr>
  </w:style>
  <w:style w:type="paragraph" w:styleId="Testonotaapidipagina">
    <w:name w:val="footnote text"/>
    <w:basedOn w:val="Normale"/>
    <w:link w:val="TestonotaapidipaginaCarattere"/>
    <w:uiPriority w:val="99"/>
    <w:semiHidden/>
    <w:unhideWhenUsed/>
    <w:rsid w:val="00DD768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768B"/>
    <w:rPr>
      <w:sz w:val="20"/>
      <w:szCs w:val="20"/>
    </w:rPr>
  </w:style>
  <w:style w:type="character" w:styleId="Rimandonotaapidipagina">
    <w:name w:val="footnote reference"/>
    <w:basedOn w:val="Carpredefinitoparagrafo"/>
    <w:uiPriority w:val="99"/>
    <w:unhideWhenUsed/>
    <w:rsid w:val="00DD768B"/>
    <w:rPr>
      <w:vertAlign w:val="superscript"/>
    </w:rPr>
  </w:style>
  <w:style w:type="table" w:styleId="Grigliatabella">
    <w:name w:val="Table Grid"/>
    <w:basedOn w:val="Tabellanormale"/>
    <w:uiPriority w:val="59"/>
    <w:rsid w:val="00DD768B"/>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DD768B"/>
    <w:pPr>
      <w:spacing w:after="0" w:line="240" w:lineRule="auto"/>
    </w:pPr>
    <w:rPr>
      <w:rFonts w:eastAsiaTheme="minorEastAsia"/>
      <w:color w:val="000000" w:themeColor="text1" w:themeShade="BF"/>
      <w:sz w:val="24"/>
      <w:szCs w:val="24"/>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essuno">
    <w:name w:val="Nessuno"/>
    <w:rsid w:val="00DD7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7">
    <w:name w:val="heading 7"/>
    <w:basedOn w:val="Normale"/>
    <w:next w:val="Normale"/>
    <w:link w:val="Titolo7Carattere"/>
    <w:uiPriority w:val="9"/>
    <w:semiHidden/>
    <w:unhideWhenUsed/>
    <w:qFormat/>
    <w:rsid w:val="004B68B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1C4E"/>
    <w:rPr>
      <w:rFonts w:ascii="Tahoma" w:hAnsi="Tahoma" w:cs="Tahoma"/>
      <w:sz w:val="16"/>
      <w:szCs w:val="16"/>
    </w:rPr>
  </w:style>
  <w:style w:type="character" w:customStyle="1" w:styleId="Titolo7Carattere">
    <w:name w:val="Titolo 7 Carattere"/>
    <w:basedOn w:val="Carpredefinitoparagrafo"/>
    <w:link w:val="Titolo7"/>
    <w:uiPriority w:val="9"/>
    <w:semiHidden/>
    <w:rsid w:val="004B68B7"/>
    <w:rPr>
      <w:rFonts w:asciiTheme="majorHAnsi" w:eastAsiaTheme="majorEastAsia" w:hAnsiTheme="majorHAnsi" w:cstheme="majorBidi"/>
      <w:i/>
      <w:iCs/>
      <w:color w:val="404040" w:themeColor="text1" w:themeTint="BF"/>
    </w:rPr>
  </w:style>
  <w:style w:type="paragraph" w:styleId="Testonotaapidipagina">
    <w:name w:val="footnote text"/>
    <w:basedOn w:val="Normale"/>
    <w:link w:val="TestonotaapidipaginaCarattere"/>
    <w:uiPriority w:val="99"/>
    <w:semiHidden/>
    <w:unhideWhenUsed/>
    <w:rsid w:val="00DD768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768B"/>
    <w:rPr>
      <w:sz w:val="20"/>
      <w:szCs w:val="20"/>
    </w:rPr>
  </w:style>
  <w:style w:type="character" w:styleId="Rimandonotaapidipagina">
    <w:name w:val="footnote reference"/>
    <w:basedOn w:val="Carpredefinitoparagrafo"/>
    <w:uiPriority w:val="99"/>
    <w:unhideWhenUsed/>
    <w:rsid w:val="00DD768B"/>
    <w:rPr>
      <w:vertAlign w:val="superscript"/>
    </w:rPr>
  </w:style>
  <w:style w:type="table" w:styleId="Grigliatabella">
    <w:name w:val="Table Grid"/>
    <w:basedOn w:val="Tabellanormale"/>
    <w:uiPriority w:val="59"/>
    <w:rsid w:val="00DD768B"/>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DD768B"/>
    <w:pPr>
      <w:spacing w:after="0" w:line="240" w:lineRule="auto"/>
    </w:pPr>
    <w:rPr>
      <w:rFonts w:eastAsiaTheme="minorEastAsia"/>
      <w:color w:val="000000" w:themeColor="text1" w:themeShade="BF"/>
      <w:sz w:val="24"/>
      <w:szCs w:val="24"/>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essuno">
    <w:name w:val="Nessuno"/>
    <w:rsid w:val="00DD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om@puglia.cg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2723</Words>
  <Characters>15525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ufficiostampa</cp:lastModifiedBy>
  <cp:revision>2</cp:revision>
  <cp:lastPrinted>2018-03-13T08:30:00Z</cp:lastPrinted>
  <dcterms:created xsi:type="dcterms:W3CDTF">2018-03-13T13:09:00Z</dcterms:created>
  <dcterms:modified xsi:type="dcterms:W3CDTF">2018-03-13T13:09:00Z</dcterms:modified>
</cp:coreProperties>
</file>